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A1F" w:rsidRDefault="000B1A1F" w:rsidP="000B1A1F">
      <w:pPr>
        <w:jc w:val="center"/>
        <w:rPr>
          <w:rFonts w:ascii="Arial" w:hAnsi="Arial" w:cs="Arial"/>
          <w:b/>
          <w:sz w:val="24"/>
          <w:szCs w:val="24"/>
        </w:rPr>
      </w:pPr>
      <w:r w:rsidRPr="00D20D83">
        <w:rPr>
          <w:rFonts w:ascii="Arial" w:hAnsi="Arial" w:cs="Arial"/>
          <w:b/>
          <w:sz w:val="24"/>
          <w:szCs w:val="24"/>
        </w:rPr>
        <w:t>Using your understanding of the historical context, assess how convin</w:t>
      </w:r>
      <w:r>
        <w:rPr>
          <w:rFonts w:ascii="Arial" w:hAnsi="Arial" w:cs="Arial"/>
          <w:b/>
          <w:sz w:val="24"/>
          <w:szCs w:val="24"/>
        </w:rPr>
        <w:t>cin</w:t>
      </w:r>
      <w:r w:rsidR="00D20A99">
        <w:rPr>
          <w:rFonts w:ascii="Arial" w:hAnsi="Arial" w:cs="Arial"/>
          <w:b/>
          <w:sz w:val="24"/>
          <w:szCs w:val="24"/>
        </w:rPr>
        <w:t xml:space="preserve">g the arguments in these three extracts are in </w:t>
      </w:r>
      <w:r w:rsidR="00024FDA">
        <w:rPr>
          <w:rFonts w:ascii="Arial" w:hAnsi="Arial" w:cs="Arial"/>
          <w:b/>
          <w:sz w:val="24"/>
          <w:szCs w:val="24"/>
        </w:rPr>
        <w:t>relation to religious changes in England in the years 1532 to 1553.</w: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1F287A53" wp14:editId="6EE980DD">
                <wp:simplePos x="0" y="0"/>
                <wp:positionH relativeFrom="column">
                  <wp:posOffset>6401394</wp:posOffset>
                </wp:positionH>
                <wp:positionV relativeFrom="paragraph">
                  <wp:posOffset>171307</wp:posOffset>
                </wp:positionV>
                <wp:extent cx="3220872" cy="5674995"/>
                <wp:effectExtent l="0" t="0" r="17780" b="20955"/>
                <wp:wrapNone/>
                <wp:docPr id="11" name="Text Box 11"/>
                <wp:cNvGraphicFramePr/>
                <a:graphic xmlns:a="http://schemas.openxmlformats.org/drawingml/2006/main">
                  <a:graphicData uri="http://schemas.microsoft.com/office/word/2010/wordprocessingShape">
                    <wps:wsp>
                      <wps:cNvSpPr txBox="1"/>
                      <wps:spPr>
                        <a:xfrm>
                          <a:off x="0" y="0"/>
                          <a:ext cx="3220872"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87A53" id="_x0000_t202" coordsize="21600,21600" o:spt="202" path="m,l,21600r21600,l21600,xe">
                <v:stroke joinstyle="miter"/>
                <v:path gradientshapeok="t" o:connecttype="rect"/>
              </v:shapetype>
              <v:shape id="Text Box 11" o:spid="_x0000_s1026" type="#_x0000_t202" style="position:absolute;left:0;text-align:left;margin-left:504.05pt;margin-top:13.5pt;width:253.6pt;height:4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jSWwIAAMM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1BFDCC0" wp14:editId="4884867E">
                <wp:simplePos x="0" y="0"/>
                <wp:positionH relativeFrom="column">
                  <wp:posOffset>-472358</wp:posOffset>
                </wp:positionH>
                <wp:positionV relativeFrom="paragraph">
                  <wp:posOffset>199390</wp:posOffset>
                </wp:positionV>
                <wp:extent cx="3254375" cy="5674995"/>
                <wp:effectExtent l="0" t="0" r="22225" b="20955"/>
                <wp:wrapNone/>
                <wp:docPr id="10" name="Text Box 10"/>
                <wp:cNvGraphicFramePr/>
                <a:graphic xmlns:a="http://schemas.openxmlformats.org/drawingml/2006/main">
                  <a:graphicData uri="http://schemas.microsoft.com/office/word/2010/wordprocessingShape">
                    <wps:wsp>
                      <wps:cNvSpPr txBox="1"/>
                      <wps:spPr>
                        <a:xfrm>
                          <a:off x="0" y="0"/>
                          <a:ext cx="3254375"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bookmarkStart w:id="0" w:name="_GoBack"/>
                            <w:bookmarkEnd w:id="0"/>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DCC0" id="Text Box 10" o:spid="_x0000_s1027" type="#_x0000_t202" style="position:absolute;left:0;text-align:left;margin-left:-37.2pt;margin-top:15.7pt;width:256.25pt;height:4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v:textbox>
              </v:shape>
            </w:pict>
          </mc:Fallback>
        </mc:AlternateContent>
      </w:r>
    </w:p>
    <w:p w:rsidR="000B1A1F" w:rsidRDefault="000B1A1F"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F019FC4" wp14:editId="4C5AD0E2">
                <wp:simplePos x="0" y="0"/>
                <wp:positionH relativeFrom="column">
                  <wp:posOffset>3045808</wp:posOffset>
                </wp:positionH>
                <wp:positionV relativeFrom="paragraph">
                  <wp:posOffset>66183</wp:posOffset>
                </wp:positionV>
                <wp:extent cx="3200400" cy="4949825"/>
                <wp:effectExtent l="0" t="0" r="19050" b="22225"/>
                <wp:wrapNone/>
                <wp:docPr id="9" name="Text Box 9"/>
                <wp:cNvGraphicFramePr/>
                <a:graphic xmlns:a="http://schemas.openxmlformats.org/drawingml/2006/main">
                  <a:graphicData uri="http://schemas.microsoft.com/office/word/2010/wordprocessingShape">
                    <wps:wsp>
                      <wps:cNvSpPr txBox="1"/>
                      <wps:spPr>
                        <a:xfrm>
                          <a:off x="0" y="0"/>
                          <a:ext cx="3200400" cy="494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A1F" w:rsidRDefault="00F0138B"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1</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3D16FA" w:rsidP="000B1A1F">
                            <w:pPr>
                              <w:pStyle w:val="NormalWeb"/>
                              <w:spacing w:before="0" w:beforeAutospacing="0" w:after="0" w:afterAutospacing="0"/>
                              <w:rPr>
                                <w:rFonts w:ascii=".SFUIText" w:hAnsi=".SFUIText"/>
                                <w:i/>
                                <w:iCs/>
                                <w:color w:val="454545"/>
                                <w:sz w:val="20"/>
                                <w:szCs w:val="20"/>
                              </w:rPr>
                            </w:pPr>
                            <w:r>
                              <w:rPr>
                                <w:rFonts w:ascii=".SF UI Text" w:hAnsi=".SF UI Text"/>
                                <w:color w:val="454545"/>
                                <w:sz w:val="26"/>
                                <w:szCs w:val="26"/>
                              </w:rPr>
                              <w:t xml:space="preserve">The evangelical establishment were determined to join the religious revolution in the rest of Europe: to destroy the old conservative and Catholic world of devotion in the English Church, which was now severed from its link with European Catholicism. Edward’s leading political advisers were ready to implement an alternative programme for making religion more radical. They could not have failed to notice that a programme of religious change also gave the possibility of diverting some of the Church’s huge wealth to their own pockets. </w:t>
                            </w:r>
                          </w:p>
                          <w:p w:rsidR="00F0138B" w:rsidRDefault="00F0138B" w:rsidP="000B1A1F">
                            <w:pPr>
                              <w:pStyle w:val="NormalWeb"/>
                              <w:spacing w:before="0" w:beforeAutospacing="0" w:after="0" w:afterAutospacing="0"/>
                              <w:rPr>
                                <w:rFonts w:ascii=".SFUIText" w:hAnsi=".SFUIText"/>
                                <w:i/>
                                <w:iCs/>
                                <w:color w:val="454545"/>
                                <w:sz w:val="20"/>
                                <w:szCs w:val="20"/>
                              </w:rPr>
                            </w:pPr>
                          </w:p>
                          <w:p w:rsidR="00F0138B" w:rsidRDefault="00F0138B" w:rsidP="000B1A1F">
                            <w:pPr>
                              <w:pStyle w:val="NormalWeb"/>
                              <w:spacing w:before="0" w:beforeAutospacing="0" w:after="0" w:afterAutospacing="0"/>
                              <w:rPr>
                                <w:rFonts w:ascii=".SFUIText" w:hAnsi=".SFUIText"/>
                                <w:i/>
                                <w:iCs/>
                                <w:color w:val="454545"/>
                                <w:sz w:val="20"/>
                                <w:szCs w:val="20"/>
                              </w:rPr>
                            </w:pPr>
                          </w:p>
                          <w:p w:rsidR="000B1A1F" w:rsidRPr="000B1A1F" w:rsidRDefault="00F0138B"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w:t>
                            </w:r>
                            <w:r w:rsidR="003D16FA">
                              <w:rPr>
                                <w:rFonts w:ascii=".SFUIText" w:hAnsi=".SFUIText"/>
                                <w:i/>
                                <w:iCs/>
                                <w:color w:val="454545"/>
                                <w:sz w:val="20"/>
                                <w:szCs w:val="20"/>
                              </w:rPr>
                              <w:t xml:space="preserve">rom </w:t>
                            </w:r>
                            <w:proofErr w:type="spellStart"/>
                            <w:r w:rsidR="003D16FA">
                              <w:rPr>
                                <w:rFonts w:ascii=".SFUIText" w:hAnsi=".SFUIText"/>
                                <w:i/>
                                <w:iCs/>
                                <w:color w:val="454545"/>
                                <w:sz w:val="20"/>
                                <w:szCs w:val="20"/>
                              </w:rPr>
                              <w:t>Diarmuid</w:t>
                            </w:r>
                            <w:proofErr w:type="spellEnd"/>
                            <w:r w:rsidR="003D16FA">
                              <w:rPr>
                                <w:rFonts w:ascii=".SFUIText" w:hAnsi=".SFUIText"/>
                                <w:i/>
                                <w:iCs/>
                                <w:color w:val="454545"/>
                                <w:sz w:val="20"/>
                                <w:szCs w:val="20"/>
                              </w:rPr>
                              <w:t xml:space="preserve"> </w:t>
                            </w:r>
                            <w:proofErr w:type="gramStart"/>
                            <w:r w:rsidR="003D16FA">
                              <w:rPr>
                                <w:rFonts w:ascii=".SFUIText" w:hAnsi=".SFUIText"/>
                                <w:i/>
                                <w:iCs/>
                                <w:color w:val="454545"/>
                                <w:sz w:val="20"/>
                                <w:szCs w:val="20"/>
                              </w:rPr>
                              <w:t>McCulloch,</w:t>
                            </w:r>
                            <w:r>
                              <w:rPr>
                                <w:rFonts w:ascii=".SFUIText" w:hAnsi=".SFUIText"/>
                                <w:i/>
                                <w:iCs/>
                                <w:color w:val="454545"/>
                                <w:sz w:val="20"/>
                                <w:szCs w:val="20"/>
                              </w:rPr>
                              <w:t>,</w:t>
                            </w:r>
                            <w:proofErr w:type="gramEnd"/>
                            <w:r w:rsidR="003D16FA">
                              <w:rPr>
                                <w:rFonts w:ascii=".SFUIText" w:hAnsi=".SFUIText"/>
                                <w:i/>
                                <w:iCs/>
                                <w:color w:val="454545"/>
                                <w:sz w:val="20"/>
                                <w:szCs w:val="20"/>
                              </w:rPr>
                              <w:t xml:space="preserve"> ‘Tudor Church Militant: Edward VI and the Protestant Reformation,1999</w:t>
                            </w:r>
                            <w:r>
                              <w:rPr>
                                <w:rFonts w:ascii=".SFUIText" w:hAnsi=".SFUIText"/>
                                <w:i/>
                                <w:iCs/>
                                <w:color w:val="454545"/>
                                <w:sz w:val="20"/>
                                <w:szCs w:val="20"/>
                              </w:rPr>
                              <w:t>.</w:t>
                            </w:r>
                            <w:r w:rsidR="000B1A1F" w:rsidRPr="000B1A1F">
                              <w:rPr>
                                <w:rFonts w:ascii=".SFUIText" w:hAnsi=".SFUIText"/>
                                <w:i/>
                                <w:iCs/>
                                <w:color w:val="454545"/>
                                <w:sz w:val="20"/>
                                <w:szCs w:val="20"/>
                              </w:rPr>
                              <w:t>.</w:t>
                            </w:r>
                          </w:p>
                          <w:p w:rsidR="000B1A1F" w:rsidRPr="000B1A1F" w:rsidRDefault="000B1A1F" w:rsidP="000B1A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19FC4" id="_x0000_t202" coordsize="21600,21600" o:spt="202" path="m,l,21600r21600,l21600,xe">
                <v:stroke joinstyle="miter"/>
                <v:path gradientshapeok="t" o:connecttype="rect"/>
              </v:shapetype>
              <v:shape id="Text Box 9" o:spid="_x0000_s1028" type="#_x0000_t202" style="position:absolute;left:0;text-align:left;margin-left:239.85pt;margin-top:5.2pt;width:252pt;height:3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" fillcolor="white [3201]" strokeweight=".5pt">
                <v:textbox>
                  <w:txbxContent>
                    <w:p w:rsidR="000B1A1F" w:rsidRDefault="00F0138B"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1</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3D16FA" w:rsidP="000B1A1F">
                      <w:pPr>
                        <w:pStyle w:val="NormalWeb"/>
                        <w:spacing w:before="0" w:beforeAutospacing="0" w:after="0" w:afterAutospacing="0"/>
                        <w:rPr>
                          <w:rFonts w:ascii=".SFUIText" w:hAnsi=".SFUIText"/>
                          <w:i/>
                          <w:iCs/>
                          <w:color w:val="454545"/>
                          <w:sz w:val="20"/>
                          <w:szCs w:val="20"/>
                        </w:rPr>
                      </w:pPr>
                      <w:r>
                        <w:rPr>
                          <w:rFonts w:ascii=".SF UI Text" w:hAnsi=".SF UI Text"/>
                          <w:color w:val="454545"/>
                          <w:sz w:val="26"/>
                          <w:szCs w:val="26"/>
                        </w:rPr>
                        <w:t xml:space="preserve">The evangelical establishment were determined to join the religious revolution in the rest of Europe: to destroy the old conservative and Catholic world of devotion in the English Church, which was now severed from its link with European Catholicism. Edward’s leading political advisers were ready to implement an alternative programme for making religion more radical. They could not have failed to notice that a programme of religious change also gave the possibility of diverting some of the Church’s huge wealth to their own pockets. </w:t>
                      </w:r>
                    </w:p>
                    <w:p w:rsidR="00F0138B" w:rsidRDefault="00F0138B" w:rsidP="000B1A1F">
                      <w:pPr>
                        <w:pStyle w:val="NormalWeb"/>
                        <w:spacing w:before="0" w:beforeAutospacing="0" w:after="0" w:afterAutospacing="0"/>
                        <w:rPr>
                          <w:rFonts w:ascii=".SFUIText" w:hAnsi=".SFUIText"/>
                          <w:i/>
                          <w:iCs/>
                          <w:color w:val="454545"/>
                          <w:sz w:val="20"/>
                          <w:szCs w:val="20"/>
                        </w:rPr>
                      </w:pPr>
                    </w:p>
                    <w:p w:rsidR="00F0138B" w:rsidRDefault="00F0138B" w:rsidP="000B1A1F">
                      <w:pPr>
                        <w:pStyle w:val="NormalWeb"/>
                        <w:spacing w:before="0" w:beforeAutospacing="0" w:after="0" w:afterAutospacing="0"/>
                        <w:rPr>
                          <w:rFonts w:ascii=".SFUIText" w:hAnsi=".SFUIText"/>
                          <w:i/>
                          <w:iCs/>
                          <w:color w:val="454545"/>
                          <w:sz w:val="20"/>
                          <w:szCs w:val="20"/>
                        </w:rPr>
                      </w:pPr>
                    </w:p>
                    <w:p w:rsidR="000B1A1F" w:rsidRPr="000B1A1F" w:rsidRDefault="00F0138B"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w:t>
                      </w:r>
                      <w:r w:rsidR="003D16FA">
                        <w:rPr>
                          <w:rFonts w:ascii=".SFUIText" w:hAnsi=".SFUIText"/>
                          <w:i/>
                          <w:iCs/>
                          <w:color w:val="454545"/>
                          <w:sz w:val="20"/>
                          <w:szCs w:val="20"/>
                        </w:rPr>
                        <w:t xml:space="preserve">rom </w:t>
                      </w:r>
                      <w:proofErr w:type="spellStart"/>
                      <w:r w:rsidR="003D16FA">
                        <w:rPr>
                          <w:rFonts w:ascii=".SFUIText" w:hAnsi=".SFUIText"/>
                          <w:i/>
                          <w:iCs/>
                          <w:color w:val="454545"/>
                          <w:sz w:val="20"/>
                          <w:szCs w:val="20"/>
                        </w:rPr>
                        <w:t>Diarmuid</w:t>
                      </w:r>
                      <w:proofErr w:type="spellEnd"/>
                      <w:r w:rsidR="003D16FA">
                        <w:rPr>
                          <w:rFonts w:ascii=".SFUIText" w:hAnsi=".SFUIText"/>
                          <w:i/>
                          <w:iCs/>
                          <w:color w:val="454545"/>
                          <w:sz w:val="20"/>
                          <w:szCs w:val="20"/>
                        </w:rPr>
                        <w:t xml:space="preserve"> </w:t>
                      </w:r>
                      <w:proofErr w:type="gramStart"/>
                      <w:r w:rsidR="003D16FA">
                        <w:rPr>
                          <w:rFonts w:ascii=".SFUIText" w:hAnsi=".SFUIText"/>
                          <w:i/>
                          <w:iCs/>
                          <w:color w:val="454545"/>
                          <w:sz w:val="20"/>
                          <w:szCs w:val="20"/>
                        </w:rPr>
                        <w:t>McCulloch,</w:t>
                      </w:r>
                      <w:r>
                        <w:rPr>
                          <w:rFonts w:ascii=".SFUIText" w:hAnsi=".SFUIText"/>
                          <w:i/>
                          <w:iCs/>
                          <w:color w:val="454545"/>
                          <w:sz w:val="20"/>
                          <w:szCs w:val="20"/>
                        </w:rPr>
                        <w:t>,</w:t>
                      </w:r>
                      <w:proofErr w:type="gramEnd"/>
                      <w:r w:rsidR="003D16FA">
                        <w:rPr>
                          <w:rFonts w:ascii=".SFUIText" w:hAnsi=".SFUIText"/>
                          <w:i/>
                          <w:iCs/>
                          <w:color w:val="454545"/>
                          <w:sz w:val="20"/>
                          <w:szCs w:val="20"/>
                        </w:rPr>
                        <w:t xml:space="preserve"> ‘Tudor Church Militant: Edward VI and the Protestant Reformation,1999</w:t>
                      </w:r>
                      <w:r>
                        <w:rPr>
                          <w:rFonts w:ascii=".SFUIText" w:hAnsi=".SFUIText"/>
                          <w:i/>
                          <w:iCs/>
                          <w:color w:val="454545"/>
                          <w:sz w:val="20"/>
                          <w:szCs w:val="20"/>
                        </w:rPr>
                        <w:t>.</w:t>
                      </w:r>
                      <w:r w:rsidR="000B1A1F" w:rsidRPr="000B1A1F">
                        <w:rPr>
                          <w:rFonts w:ascii=".SFUIText" w:hAnsi=".SFUIText"/>
                          <w:i/>
                          <w:iCs/>
                          <w:color w:val="454545"/>
                          <w:sz w:val="20"/>
                          <w:szCs w:val="20"/>
                        </w:rPr>
                        <w:t>.</w:t>
                      </w:r>
                    </w:p>
                    <w:p w:rsidR="000B1A1F" w:rsidRPr="000B1A1F" w:rsidRDefault="000B1A1F" w:rsidP="000B1A1F">
                      <w:pPr>
                        <w:rPr>
                          <w:sz w:val="20"/>
                          <w:szCs w:val="20"/>
                        </w:rPr>
                      </w:pPr>
                    </w:p>
                  </w:txbxContent>
                </v:textbox>
              </v:shape>
            </w:pict>
          </mc:Fallback>
        </mc:AlternateContent>
      </w: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AB3E23" w:rsidRDefault="00AB3E23"/>
    <w:sectPr w:rsidR="00AB3E23" w:rsidSect="000B1A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F"/>
    <w:rsid w:val="00024FDA"/>
    <w:rsid w:val="000B1A1F"/>
    <w:rsid w:val="003D16FA"/>
    <w:rsid w:val="005D7B3B"/>
    <w:rsid w:val="0084278D"/>
    <w:rsid w:val="00967152"/>
    <w:rsid w:val="00AB3E23"/>
    <w:rsid w:val="00D20A99"/>
    <w:rsid w:val="00F0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9F01"/>
  <w15:chartTrackingRefBased/>
  <w15:docId w15:val="{5905B7D0-CEEE-4338-A043-2196C3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67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 Reynolds</cp:lastModifiedBy>
  <cp:revision>4</cp:revision>
  <cp:lastPrinted>2020-09-15T10:06:00Z</cp:lastPrinted>
  <dcterms:created xsi:type="dcterms:W3CDTF">2020-09-15T10:07:00Z</dcterms:created>
  <dcterms:modified xsi:type="dcterms:W3CDTF">2020-09-15T10:14:00Z</dcterms:modified>
</cp:coreProperties>
</file>