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7510A" w14:textId="5368C4C6" w:rsidR="00D30285" w:rsidRPr="00EA79A1" w:rsidRDefault="00D30285" w:rsidP="00D30285">
      <w:pPr>
        <w:jc w:val="center"/>
        <w:rPr>
          <w:b/>
          <w:bCs/>
        </w:rPr>
      </w:pPr>
      <w:r w:rsidRPr="00EA79A1">
        <w:rPr>
          <w:b/>
          <w:bCs/>
        </w:rPr>
        <w:t>Sino-American relations, rapprochement and restoring relations regarding Taiwan</w:t>
      </w:r>
    </w:p>
    <w:p w14:paraId="7551CFCB" w14:textId="77777777" w:rsidR="00D30285" w:rsidRPr="00EA79A1" w:rsidRDefault="00D30285" w:rsidP="00D30285">
      <w:pPr>
        <w:jc w:val="center"/>
        <w:rPr>
          <w:b/>
          <w:bCs/>
        </w:rPr>
      </w:pPr>
    </w:p>
    <w:p w14:paraId="4DE124D2" w14:textId="080F297D" w:rsidR="00D30285" w:rsidRPr="00D30285" w:rsidRDefault="00D30285" w:rsidP="00D30285">
      <w:pPr>
        <w:rPr>
          <w:i/>
          <w:iCs/>
        </w:rPr>
      </w:pPr>
      <w:r w:rsidRPr="00D30285">
        <w:rPr>
          <w:i/>
          <w:iCs/>
        </w:rPr>
        <w:t>“Many factors produced the change in U.S. policy toward China and Taiwan in the 1970s, some tactical, some strategic. The timing of the initial step was unquestionably related to the Vietnam War and the Sino-Soviet dispute. The second and third steps were facilitated by and partly a response to the Soviet expansion. But these were transitory considerations. From a longer-term perspective, America’s China policy of the 1950s and 1960s could not be sustained. It was based on American acknowledgment of an absurd claim. Taiwan was not, as it asserted, the government of mainland China. At the same time, China’s position was unrealistic. The People’s Republic was not the government of  Taiwan. In fact, the two governments ruled different parts of Chinese territory, each asserting that it was the rightful authority for all of China, each denying the legitimacy of the other.”</w:t>
      </w:r>
    </w:p>
    <w:p w14:paraId="514E6740" w14:textId="77777777" w:rsidR="00D30285" w:rsidRPr="00D30285" w:rsidRDefault="00D30285" w:rsidP="00D30285">
      <w:r w:rsidRPr="00D30285">
        <w:t>Jonathan Spence, The Search for Modern China (New York: W. W. Norton &amp; Company, 1990)</w:t>
      </w:r>
    </w:p>
    <w:p w14:paraId="62E67869" w14:textId="682A1E0E" w:rsidR="00D30285" w:rsidRPr="00EA79A1" w:rsidRDefault="00D30285" w:rsidP="00D30285"/>
    <w:p w14:paraId="32CFDDDF" w14:textId="58937CCA" w:rsidR="00D30285" w:rsidRPr="00EA79A1" w:rsidRDefault="00D30285" w:rsidP="00D30285">
      <w:pPr>
        <w:rPr>
          <w:b/>
          <w:bCs/>
        </w:rPr>
      </w:pPr>
      <w:r w:rsidRPr="00EA79A1">
        <w:rPr>
          <w:b/>
          <w:bCs/>
        </w:rPr>
        <w:t>Fundamental steps were taken in the lead up to Nixon’s visit to China in 1972 in redefining the Sino-American relationship. One key sticking point, however, was Taiwan.</w:t>
      </w:r>
    </w:p>
    <w:p w14:paraId="36CB0474" w14:textId="26745CC1" w:rsidR="00D30285" w:rsidRPr="00D30285" w:rsidRDefault="00D30285" w:rsidP="00D30285">
      <w:pPr>
        <w:numPr>
          <w:ilvl w:val="0"/>
          <w:numId w:val="1"/>
        </w:numPr>
      </w:pPr>
      <w:r w:rsidRPr="00EA79A1">
        <w:t>In n</w:t>
      </w:r>
      <w:r w:rsidRPr="00D30285">
        <w:t xml:space="preserve">ot recognizing the PRC’s claim over Taiwan nor Taiwan as a sovereign state, U.S. policy has considered Taiwan’s status as </w:t>
      </w:r>
      <w:r w:rsidRPr="00EA79A1">
        <w:t>‘</w:t>
      </w:r>
      <w:r w:rsidRPr="00D30285">
        <w:t>unsettled</w:t>
      </w:r>
      <w:r w:rsidRPr="00EA79A1">
        <w:t>’.</w:t>
      </w:r>
    </w:p>
    <w:p w14:paraId="2576AE1C" w14:textId="77777777" w:rsidR="00D30285" w:rsidRPr="00D30285" w:rsidRDefault="00D30285" w:rsidP="00D30285">
      <w:pPr>
        <w:numPr>
          <w:ilvl w:val="0"/>
          <w:numId w:val="1"/>
        </w:numPr>
      </w:pPr>
      <w:r w:rsidRPr="00D30285">
        <w:t xml:space="preserve">Since a declaration by President Truman on 27 June 1950, during the Korean War, the United States has supported a future determination of the island’s status in a peaceful manner. </w:t>
      </w:r>
    </w:p>
    <w:p w14:paraId="55022516" w14:textId="77777777" w:rsidR="00D30285" w:rsidRPr="00D30285" w:rsidRDefault="00D30285" w:rsidP="00D30285">
      <w:pPr>
        <w:numPr>
          <w:ilvl w:val="0"/>
          <w:numId w:val="1"/>
        </w:numPr>
      </w:pPr>
      <w:r w:rsidRPr="00D30285">
        <w:t xml:space="preserve">The United States did not state a stance on the sovereign status of Taiwan in the three U.S.-PRC Joint Communiqués of 1972, 1979, and 1982. </w:t>
      </w:r>
    </w:p>
    <w:p w14:paraId="4E55B0AE" w14:textId="77777777" w:rsidR="00D30285" w:rsidRPr="00D30285" w:rsidRDefault="00D30285" w:rsidP="00D30285">
      <w:pPr>
        <w:numPr>
          <w:ilvl w:val="0"/>
          <w:numId w:val="1"/>
        </w:numPr>
      </w:pPr>
      <w:r w:rsidRPr="00D30285">
        <w:t xml:space="preserve">The United States simply “acknowledged” the “one China” position of both sides of the Taiwan Strait. </w:t>
      </w:r>
    </w:p>
    <w:p w14:paraId="4867EE6F" w14:textId="2A525396" w:rsidR="00D30285" w:rsidRPr="00D30285" w:rsidRDefault="00D30285" w:rsidP="00D30285">
      <w:pPr>
        <w:numPr>
          <w:ilvl w:val="0"/>
          <w:numId w:val="1"/>
        </w:numPr>
      </w:pPr>
      <w:r w:rsidRPr="00D30285">
        <w:t xml:space="preserve">Washington has not promised to end arms sales to Taiwan for its self </w:t>
      </w:r>
      <w:r w:rsidR="00EA79A1" w:rsidRPr="00D30285">
        <w:t>defence</w:t>
      </w:r>
      <w:r w:rsidRPr="00D30285">
        <w:t xml:space="preserve">, although the Mutual </w:t>
      </w:r>
      <w:proofErr w:type="spellStart"/>
      <w:r w:rsidRPr="00D30285">
        <w:t>Defense</w:t>
      </w:r>
      <w:proofErr w:type="spellEnd"/>
      <w:r w:rsidRPr="00D30285">
        <w:t xml:space="preserve"> Treaty of 1954 terminated on 31 December, 1979. </w:t>
      </w:r>
    </w:p>
    <w:p w14:paraId="5632EF64" w14:textId="344DE581" w:rsidR="00D30285" w:rsidRPr="00D30285" w:rsidRDefault="00D30285" w:rsidP="00D30285">
      <w:pPr>
        <w:numPr>
          <w:ilvl w:val="0"/>
          <w:numId w:val="1"/>
        </w:numPr>
      </w:pPr>
      <w:r w:rsidRPr="00D30285">
        <w:t>U.S. policy le</w:t>
      </w:r>
      <w:r w:rsidRPr="00EA79A1">
        <w:t>ft</w:t>
      </w:r>
      <w:r w:rsidRPr="00D30285">
        <w:t xml:space="preserve"> the Taiwan question to be resolved by the people on both sides of the strait: a “peaceful resolution,” with the assent of Taiwan’s people in a democratic manner, and without unilateral changes. </w:t>
      </w:r>
    </w:p>
    <w:p w14:paraId="7B16ABB6" w14:textId="35FBC0B3" w:rsidR="00D30285" w:rsidRPr="00EA79A1" w:rsidRDefault="00D30285" w:rsidP="00D30285">
      <w:pPr>
        <w:numPr>
          <w:ilvl w:val="0"/>
          <w:numId w:val="1"/>
        </w:numPr>
      </w:pPr>
      <w:r w:rsidRPr="00D30285">
        <w:t>In short, U.S. policy focused on the process of resolution of the Taiwan question, not any set outcome.</w:t>
      </w:r>
    </w:p>
    <w:p w14:paraId="161C68F9" w14:textId="7547B34B" w:rsidR="00D30285" w:rsidRPr="00EA79A1" w:rsidRDefault="00D30285" w:rsidP="00D30285">
      <w:pPr>
        <w:rPr>
          <w:rFonts w:cstheme="minorHAnsi"/>
          <w:b/>
          <w:bCs/>
        </w:rPr>
      </w:pPr>
      <w:r w:rsidRPr="00EA79A1">
        <w:rPr>
          <w:rFonts w:cstheme="minorHAnsi"/>
          <w:b/>
          <w:bCs/>
        </w:rPr>
        <w:t>There was, however, positive progress which is reflected in the Shanghai Communiqué of 1972:</w:t>
      </w:r>
    </w:p>
    <w:p w14:paraId="5AB63CE1" w14:textId="1048C1F9" w:rsidR="00D30285" w:rsidRPr="00EA79A1" w:rsidRDefault="00D30285" w:rsidP="00D30285">
      <w:pPr>
        <w:rPr>
          <w:rFonts w:cstheme="minorHAnsi"/>
        </w:rPr>
      </w:pPr>
      <w:r w:rsidRPr="00EA79A1">
        <w:rPr>
          <w:rFonts w:cstheme="minorHAnsi"/>
        </w:rPr>
        <w:t>“</w:t>
      </w:r>
      <w:r w:rsidRPr="00EA79A1">
        <w:rPr>
          <w:rFonts w:cstheme="minorHAnsi"/>
          <w:color w:val="333333"/>
          <w:shd w:val="clear" w:color="auto" w:fill="FFFFFF"/>
        </w:rPr>
        <w:t>The two sides reviewed the long-standing serious disputes between China and the United States. The Chinese side reaffirmed its position: The Taiwan question is the crucial question obstructing the normalization of relations between China and the United States; the Government of the People’s Republic of China is the sole legal government of China; Taiwan is a province of China which has long been returned to the motherland; the liberation of Taiwan is China’s internal affair in which no other country has the right to interfere; and all U.S. forces and military installations must be withdrawn from Taiwan. The Chinese Government firmly opposes any activities which aim at the creation of “one China, one Taiwan,” “one China, two governments,” “two Chinas,” and “independent Taiwan” or advocate that “the status of Taiwan remains to be determined.”</w:t>
      </w:r>
      <w:r w:rsidRPr="00EA79A1">
        <w:rPr>
          <w:rFonts w:cstheme="minorHAnsi"/>
          <w:color w:val="333333"/>
          <w:shd w:val="clear" w:color="auto" w:fill="FFFFFF"/>
        </w:rPr>
        <w:t xml:space="preserve"> (</w:t>
      </w:r>
      <w:hyperlink r:id="rId5" w:history="1">
        <w:r w:rsidRPr="00EA79A1">
          <w:rPr>
            <w:rStyle w:val="Hyperlink"/>
            <w:rFonts w:cstheme="minorHAnsi"/>
            <w:shd w:val="clear" w:color="auto" w:fill="FFFFFF"/>
          </w:rPr>
          <w:t>https://history.state.gov/historicaldocuments/frus1969-76v17/d203</w:t>
        </w:r>
      </w:hyperlink>
      <w:r w:rsidRPr="00EA79A1">
        <w:rPr>
          <w:rFonts w:cstheme="minorHAnsi"/>
          <w:color w:val="333333"/>
          <w:shd w:val="clear" w:color="auto" w:fill="FFFFFF"/>
        </w:rPr>
        <w:t xml:space="preserve">) </w:t>
      </w:r>
    </w:p>
    <w:p w14:paraId="2C11409D" w14:textId="4A99F4AB" w:rsidR="00D30285" w:rsidRPr="00D30285" w:rsidRDefault="00EA79A1" w:rsidP="00D30285">
      <w:pPr>
        <w:rPr>
          <w:rFonts w:cstheme="minorHAnsi"/>
          <w:b/>
          <w:bCs/>
        </w:rPr>
      </w:pPr>
      <w:r w:rsidRPr="00EA79A1">
        <w:rPr>
          <w:rFonts w:cstheme="minorHAnsi"/>
          <w:b/>
          <w:bCs/>
        </w:rPr>
        <w:lastRenderedPageBreak/>
        <w:t xml:space="preserve">There was </w:t>
      </w:r>
      <w:r w:rsidR="00D30285" w:rsidRPr="00EA79A1">
        <w:rPr>
          <w:rFonts w:cstheme="minorHAnsi"/>
          <w:b/>
          <w:bCs/>
        </w:rPr>
        <w:t>productive movement regarding the PRC’s admittance to the United Nations:</w:t>
      </w:r>
    </w:p>
    <w:p w14:paraId="3FDD1324" w14:textId="77777777" w:rsidR="00D30285" w:rsidRPr="00D30285" w:rsidRDefault="00D30285" w:rsidP="00D30285">
      <w:pPr>
        <w:numPr>
          <w:ilvl w:val="0"/>
          <w:numId w:val="1"/>
        </w:numPr>
        <w:rPr>
          <w:rFonts w:cstheme="minorHAnsi"/>
        </w:rPr>
      </w:pPr>
      <w:r w:rsidRPr="00D30285">
        <w:rPr>
          <w:rFonts w:cstheme="minorHAnsi"/>
        </w:rPr>
        <w:t>On 25 October, 1971, the United Nations General Assembly voted to admit the People’s Republic of China (mainland China) and to expel the Republic of China (Taiwan). The Communist P.R.C. therefore assumed the R.O.C.’s place in the General Assembly as well as its place as one of the five permanent members of the U.N. Security Council.</w:t>
      </w:r>
    </w:p>
    <w:p w14:paraId="1F34130A" w14:textId="100F851B" w:rsidR="00D30285" w:rsidRPr="00D30285" w:rsidRDefault="00D30285" w:rsidP="00D30285">
      <w:pPr>
        <w:numPr>
          <w:ilvl w:val="0"/>
          <w:numId w:val="1"/>
        </w:numPr>
        <w:rPr>
          <w:rFonts w:cstheme="minorHAnsi"/>
        </w:rPr>
      </w:pPr>
      <w:r w:rsidRPr="00D30285">
        <w:rPr>
          <w:rFonts w:cstheme="minorHAnsi"/>
        </w:rPr>
        <w:t>By 1971</w:t>
      </w:r>
      <w:r w:rsidRPr="00EA79A1">
        <w:rPr>
          <w:rFonts w:cstheme="minorHAnsi"/>
        </w:rPr>
        <w:t>,</w:t>
      </w:r>
      <w:r w:rsidRPr="00D30285">
        <w:rPr>
          <w:rFonts w:cstheme="minorHAnsi"/>
        </w:rPr>
        <w:t xml:space="preserve"> the People’s Republic had gained enough international support for the U.N. General Assembly to pass the resolution declaring that it, and not the R.O.C., was the rightful representative of China. The resolution specified that it was a “restoration of the lawful rights” to the P.R.C., indicating that the country had been denied its rightful seat since 1949.</w:t>
      </w:r>
    </w:p>
    <w:p w14:paraId="2BCB1AA2" w14:textId="0F4C1280" w:rsidR="00D30285" w:rsidRPr="00EA79A1" w:rsidRDefault="00D30285" w:rsidP="00D30285">
      <w:pPr>
        <w:numPr>
          <w:ilvl w:val="0"/>
          <w:numId w:val="1"/>
        </w:numPr>
      </w:pPr>
      <w:r w:rsidRPr="00D30285">
        <w:rPr>
          <w:rFonts w:cstheme="minorHAnsi"/>
        </w:rPr>
        <w:t>The United States, the most significant opponent</w:t>
      </w:r>
      <w:r w:rsidRPr="00D30285">
        <w:t xml:space="preserve"> of the resolution, then argued for the P.R.C. to be admitted separately from the R.O.C., which would have allowed the R.O.C. to retain its spot. The proposal was defeated.</w:t>
      </w:r>
    </w:p>
    <w:p w14:paraId="746E6BD3" w14:textId="74EAB3BE" w:rsidR="00D30285" w:rsidRPr="00EA79A1" w:rsidRDefault="00EA79A1" w:rsidP="00EA79A1">
      <w:pPr>
        <w:rPr>
          <w:b/>
          <w:bCs/>
        </w:rPr>
      </w:pPr>
      <w:r w:rsidRPr="00EA79A1">
        <w:rPr>
          <w:b/>
          <w:bCs/>
        </w:rPr>
        <w:t>Why then, were full relations not achieved until 1979?</w:t>
      </w:r>
    </w:p>
    <w:p w14:paraId="38BCD3CA" w14:textId="09143B84" w:rsidR="00EA79A1" w:rsidRPr="00EA79A1" w:rsidRDefault="00EA79A1" w:rsidP="00EA79A1">
      <w:pPr>
        <w:pStyle w:val="ListParagraph"/>
        <w:numPr>
          <w:ilvl w:val="0"/>
          <w:numId w:val="7"/>
        </w:numPr>
      </w:pPr>
      <w:r w:rsidRPr="00EA79A1">
        <w:t xml:space="preserve">Watergate and its aftermath lessened the focus of the US </w:t>
      </w:r>
      <w:r w:rsidRPr="00EA79A1">
        <w:t>government</w:t>
      </w:r>
    </w:p>
    <w:p w14:paraId="56DE2C92" w14:textId="77777777" w:rsidR="00EA79A1" w:rsidRPr="00EA79A1" w:rsidRDefault="00EA79A1" w:rsidP="00EA79A1">
      <w:pPr>
        <w:pStyle w:val="ListParagraph"/>
        <w:numPr>
          <w:ilvl w:val="0"/>
          <w:numId w:val="7"/>
        </w:numPr>
      </w:pPr>
      <w:r w:rsidRPr="00EA79A1">
        <w:t>Mao and Zhou die in 1976, causing leadership struggle.</w:t>
      </w:r>
    </w:p>
    <w:p w14:paraId="5AFCA1F8" w14:textId="36E4A545" w:rsidR="00D30285" w:rsidRPr="00EA79A1" w:rsidRDefault="00EA79A1" w:rsidP="00EA79A1">
      <w:pPr>
        <w:pStyle w:val="ListParagraph"/>
        <w:numPr>
          <w:ilvl w:val="0"/>
          <w:numId w:val="7"/>
        </w:numPr>
      </w:pPr>
      <w:r w:rsidRPr="00EA79A1">
        <w:t>Not until 1978 d</w:t>
      </w:r>
      <w:r w:rsidRPr="00EA79A1">
        <w:t>id</w:t>
      </w:r>
      <w:r w:rsidRPr="00EA79A1">
        <w:t xml:space="preserve"> negotiations between US Pres</w:t>
      </w:r>
      <w:r w:rsidRPr="00EA79A1">
        <w:t>ident</w:t>
      </w:r>
      <w:r w:rsidRPr="00EA79A1">
        <w:t xml:space="preserve"> Jimmy Carter and new Chinese leader Deng Xiaoping </w:t>
      </w:r>
      <w:r w:rsidRPr="00EA79A1">
        <w:t>lead to</w:t>
      </w:r>
      <w:r w:rsidRPr="00EA79A1">
        <w:t xml:space="preserve"> formal relation</w:t>
      </w:r>
      <w:r w:rsidRPr="00EA79A1">
        <w:t>s</w:t>
      </w:r>
      <w:r w:rsidRPr="00EA79A1">
        <w:t xml:space="preserve"> becom</w:t>
      </w:r>
      <w:r w:rsidRPr="00EA79A1">
        <w:t>ing</w:t>
      </w:r>
      <w:r w:rsidRPr="00EA79A1">
        <w:t xml:space="preserve"> a reality.</w:t>
      </w:r>
    </w:p>
    <w:p w14:paraId="3FDD4495" w14:textId="66EF87E0" w:rsidR="00D30285" w:rsidRPr="00D30285" w:rsidRDefault="00D30285" w:rsidP="00EA79A1">
      <w:pPr>
        <w:numPr>
          <w:ilvl w:val="0"/>
          <w:numId w:val="1"/>
        </w:numPr>
      </w:pPr>
      <w:r w:rsidRPr="00D30285">
        <w:t>Mao’s successor from 1976 was Den Xiaoping.</w:t>
      </w:r>
      <w:r w:rsidR="00EA79A1">
        <w:t xml:space="preserve"> </w:t>
      </w:r>
      <w:r w:rsidRPr="00D30285">
        <w:t>He emphasised the centrality, in terms of China’s interests, of economics over revolutionary theory.</w:t>
      </w:r>
    </w:p>
    <w:p w14:paraId="269CE784" w14:textId="41398606" w:rsidR="00D30285" w:rsidRPr="00D30285" w:rsidRDefault="00D30285" w:rsidP="00D30285">
      <w:pPr>
        <w:numPr>
          <w:ilvl w:val="0"/>
          <w:numId w:val="1"/>
        </w:numPr>
      </w:pPr>
      <w:r w:rsidRPr="00D30285">
        <w:t>Carter, strongly influenced by Brzezinski (Zbigniew Brzezinski was President Jimmy Carter's National Security Advisor from 1977 to 1981) took the view that China must be a central element of the USA’s global strategy.</w:t>
      </w:r>
    </w:p>
    <w:p w14:paraId="6C6A6F31" w14:textId="77777777" w:rsidR="00D30285" w:rsidRPr="00D30285" w:rsidRDefault="00D30285" w:rsidP="00D30285">
      <w:pPr>
        <w:numPr>
          <w:ilvl w:val="0"/>
          <w:numId w:val="1"/>
        </w:numPr>
      </w:pPr>
      <w:r w:rsidRPr="00D30285">
        <w:t>A similar view, from China’s perspective, was taken by Deng.</w:t>
      </w:r>
    </w:p>
    <w:p w14:paraId="4A38AC80" w14:textId="77777777" w:rsidR="00D30285" w:rsidRPr="00D30285" w:rsidRDefault="00D30285" w:rsidP="00D30285">
      <w:pPr>
        <w:numPr>
          <w:ilvl w:val="0"/>
          <w:numId w:val="1"/>
        </w:numPr>
      </w:pPr>
      <w:r w:rsidRPr="00D30285">
        <w:t>A potential obstacle to the normalisation was Taiwan.</w:t>
      </w:r>
    </w:p>
    <w:p w14:paraId="7B3E9485" w14:textId="77777777" w:rsidR="00D30285" w:rsidRPr="00D30285" w:rsidRDefault="00D30285" w:rsidP="00D30285">
      <w:pPr>
        <w:numPr>
          <w:ilvl w:val="0"/>
          <w:numId w:val="1"/>
        </w:numPr>
      </w:pPr>
      <w:r w:rsidRPr="00D30285">
        <w:t>For China, the USA’s lasting support for Taiwan was a blatant interference in China’s internal affairs.</w:t>
      </w:r>
    </w:p>
    <w:p w14:paraId="3CF108B7" w14:textId="22237FC2" w:rsidR="00D30285" w:rsidRDefault="00D30285" w:rsidP="00EA79A1">
      <w:pPr>
        <w:numPr>
          <w:ilvl w:val="0"/>
          <w:numId w:val="1"/>
        </w:numPr>
      </w:pPr>
      <w:r w:rsidRPr="00D30285">
        <w:t>In December 1978, China and the USA reached an agreement on Taiwan.</w:t>
      </w:r>
      <w:r w:rsidR="00EA79A1">
        <w:t xml:space="preserve"> </w:t>
      </w:r>
      <w:r w:rsidRPr="00D30285">
        <w:t>Deng assured the USA that the Taiwan issue would be resolved peacefully. Formal diplomatic relations between China and the USA were agreed and would take effect from 1 January 1979.</w:t>
      </w:r>
    </w:p>
    <w:p w14:paraId="46E90C05" w14:textId="59397498" w:rsidR="00D30285" w:rsidRPr="00D30285" w:rsidRDefault="00EA79A1" w:rsidP="00EA79A1">
      <w:pPr>
        <w:rPr>
          <w:b/>
          <w:bCs/>
        </w:rPr>
      </w:pPr>
      <w:r>
        <w:rPr>
          <w:b/>
          <w:bCs/>
        </w:rPr>
        <w:t>Full relations are achieved!</w:t>
      </w:r>
    </w:p>
    <w:p w14:paraId="34D52D4D" w14:textId="4819D595" w:rsidR="00D30285" w:rsidRPr="00D30285" w:rsidRDefault="00D30285" w:rsidP="00D30285">
      <w:pPr>
        <w:numPr>
          <w:ilvl w:val="0"/>
          <w:numId w:val="1"/>
        </w:numPr>
      </w:pPr>
      <w:r w:rsidRPr="00D30285">
        <w:t xml:space="preserve">The United States maintained a non-diplomatic relationship with Taiwan after recognition of the PRC in 1979. </w:t>
      </w:r>
    </w:p>
    <w:p w14:paraId="42418E48" w14:textId="77777777" w:rsidR="00D30285" w:rsidRPr="00D30285" w:rsidRDefault="00D30285" w:rsidP="00D30285">
      <w:pPr>
        <w:numPr>
          <w:ilvl w:val="0"/>
          <w:numId w:val="1"/>
        </w:numPr>
      </w:pPr>
      <w:r w:rsidRPr="00D30285">
        <w:t>Between 29 January and 4 February 1969, Deng visited the USA.</w:t>
      </w:r>
    </w:p>
    <w:p w14:paraId="67FC2A56" w14:textId="77777777" w:rsidR="00D30285" w:rsidRPr="00D30285" w:rsidRDefault="00D30285" w:rsidP="00D30285">
      <w:pPr>
        <w:numPr>
          <w:ilvl w:val="0"/>
          <w:numId w:val="1"/>
        </w:numPr>
      </w:pPr>
      <w:r w:rsidRPr="00D30285">
        <w:t>The establishment of a positive Sino-American relation gave China access to the US-dominated global markets.</w:t>
      </w:r>
    </w:p>
    <w:p w14:paraId="4C78D930" w14:textId="01C55410" w:rsidR="00D30285" w:rsidRPr="00EA79A1" w:rsidRDefault="00D30285" w:rsidP="00AD1C40">
      <w:pPr>
        <w:numPr>
          <w:ilvl w:val="0"/>
          <w:numId w:val="1"/>
        </w:numPr>
      </w:pPr>
      <w:r w:rsidRPr="00D30285">
        <w:t>For Carter, the relationship strengthened the USA’s ability to manage the development of the USSR as a growing threat to US interests</w:t>
      </w:r>
      <w:r w:rsidR="00EA79A1">
        <w:t xml:space="preserve"> (particularly regarding the events in Angola and Ethiopia, which </w:t>
      </w:r>
      <w:r w:rsidRPr="00D30285">
        <w:t>were seen as increasing the pressure of US vital strategic interests</w:t>
      </w:r>
      <w:r w:rsidR="00EA79A1">
        <w:t>).</w:t>
      </w:r>
    </w:p>
    <w:sectPr w:rsidR="00D30285" w:rsidRPr="00EA79A1" w:rsidSect="00D3028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61791"/>
    <w:multiLevelType w:val="hybridMultilevel"/>
    <w:tmpl w:val="9300D674"/>
    <w:lvl w:ilvl="0" w:tplc="B12C7DB6">
      <w:start w:val="1"/>
      <w:numFmt w:val="bullet"/>
      <w:lvlText w:val="•"/>
      <w:lvlJc w:val="left"/>
      <w:pPr>
        <w:tabs>
          <w:tab w:val="num" w:pos="720"/>
        </w:tabs>
        <w:ind w:left="720" w:hanging="360"/>
      </w:pPr>
      <w:rPr>
        <w:rFonts w:ascii="Arial" w:hAnsi="Arial" w:hint="default"/>
      </w:rPr>
    </w:lvl>
    <w:lvl w:ilvl="1" w:tplc="515CC9C0" w:tentative="1">
      <w:start w:val="1"/>
      <w:numFmt w:val="bullet"/>
      <w:lvlText w:val="•"/>
      <w:lvlJc w:val="left"/>
      <w:pPr>
        <w:tabs>
          <w:tab w:val="num" w:pos="1440"/>
        </w:tabs>
        <w:ind w:left="1440" w:hanging="360"/>
      </w:pPr>
      <w:rPr>
        <w:rFonts w:ascii="Arial" w:hAnsi="Arial" w:hint="default"/>
      </w:rPr>
    </w:lvl>
    <w:lvl w:ilvl="2" w:tplc="46EE73B6" w:tentative="1">
      <w:start w:val="1"/>
      <w:numFmt w:val="bullet"/>
      <w:lvlText w:val="•"/>
      <w:lvlJc w:val="left"/>
      <w:pPr>
        <w:tabs>
          <w:tab w:val="num" w:pos="2160"/>
        </w:tabs>
        <w:ind w:left="2160" w:hanging="360"/>
      </w:pPr>
      <w:rPr>
        <w:rFonts w:ascii="Arial" w:hAnsi="Arial" w:hint="default"/>
      </w:rPr>
    </w:lvl>
    <w:lvl w:ilvl="3" w:tplc="8DF21898" w:tentative="1">
      <w:start w:val="1"/>
      <w:numFmt w:val="bullet"/>
      <w:lvlText w:val="•"/>
      <w:lvlJc w:val="left"/>
      <w:pPr>
        <w:tabs>
          <w:tab w:val="num" w:pos="2880"/>
        </w:tabs>
        <w:ind w:left="2880" w:hanging="360"/>
      </w:pPr>
      <w:rPr>
        <w:rFonts w:ascii="Arial" w:hAnsi="Arial" w:hint="default"/>
      </w:rPr>
    </w:lvl>
    <w:lvl w:ilvl="4" w:tplc="CCEAAB4A" w:tentative="1">
      <w:start w:val="1"/>
      <w:numFmt w:val="bullet"/>
      <w:lvlText w:val="•"/>
      <w:lvlJc w:val="left"/>
      <w:pPr>
        <w:tabs>
          <w:tab w:val="num" w:pos="3600"/>
        </w:tabs>
        <w:ind w:left="3600" w:hanging="360"/>
      </w:pPr>
      <w:rPr>
        <w:rFonts w:ascii="Arial" w:hAnsi="Arial" w:hint="default"/>
      </w:rPr>
    </w:lvl>
    <w:lvl w:ilvl="5" w:tplc="D42C5C0A" w:tentative="1">
      <w:start w:val="1"/>
      <w:numFmt w:val="bullet"/>
      <w:lvlText w:val="•"/>
      <w:lvlJc w:val="left"/>
      <w:pPr>
        <w:tabs>
          <w:tab w:val="num" w:pos="4320"/>
        </w:tabs>
        <w:ind w:left="4320" w:hanging="360"/>
      </w:pPr>
      <w:rPr>
        <w:rFonts w:ascii="Arial" w:hAnsi="Arial" w:hint="default"/>
      </w:rPr>
    </w:lvl>
    <w:lvl w:ilvl="6" w:tplc="827896C4" w:tentative="1">
      <w:start w:val="1"/>
      <w:numFmt w:val="bullet"/>
      <w:lvlText w:val="•"/>
      <w:lvlJc w:val="left"/>
      <w:pPr>
        <w:tabs>
          <w:tab w:val="num" w:pos="5040"/>
        </w:tabs>
        <w:ind w:left="5040" w:hanging="360"/>
      </w:pPr>
      <w:rPr>
        <w:rFonts w:ascii="Arial" w:hAnsi="Arial" w:hint="default"/>
      </w:rPr>
    </w:lvl>
    <w:lvl w:ilvl="7" w:tplc="4C745416" w:tentative="1">
      <w:start w:val="1"/>
      <w:numFmt w:val="bullet"/>
      <w:lvlText w:val="•"/>
      <w:lvlJc w:val="left"/>
      <w:pPr>
        <w:tabs>
          <w:tab w:val="num" w:pos="5760"/>
        </w:tabs>
        <w:ind w:left="5760" w:hanging="360"/>
      </w:pPr>
      <w:rPr>
        <w:rFonts w:ascii="Arial" w:hAnsi="Arial" w:hint="default"/>
      </w:rPr>
    </w:lvl>
    <w:lvl w:ilvl="8" w:tplc="222694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A509A0"/>
    <w:multiLevelType w:val="hybridMultilevel"/>
    <w:tmpl w:val="DA32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697E9D"/>
    <w:multiLevelType w:val="hybridMultilevel"/>
    <w:tmpl w:val="2E221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E2219E"/>
    <w:multiLevelType w:val="hybridMultilevel"/>
    <w:tmpl w:val="A8901D1A"/>
    <w:lvl w:ilvl="0" w:tplc="EDB00B46">
      <w:start w:val="1"/>
      <w:numFmt w:val="bullet"/>
      <w:lvlText w:val="•"/>
      <w:lvlJc w:val="left"/>
      <w:pPr>
        <w:tabs>
          <w:tab w:val="num" w:pos="720"/>
        </w:tabs>
        <w:ind w:left="720" w:hanging="360"/>
      </w:pPr>
      <w:rPr>
        <w:rFonts w:ascii="Arial" w:hAnsi="Arial" w:hint="default"/>
      </w:rPr>
    </w:lvl>
    <w:lvl w:ilvl="1" w:tplc="BDA4AD2C" w:tentative="1">
      <w:start w:val="1"/>
      <w:numFmt w:val="bullet"/>
      <w:lvlText w:val="•"/>
      <w:lvlJc w:val="left"/>
      <w:pPr>
        <w:tabs>
          <w:tab w:val="num" w:pos="1440"/>
        </w:tabs>
        <w:ind w:left="1440" w:hanging="360"/>
      </w:pPr>
      <w:rPr>
        <w:rFonts w:ascii="Arial" w:hAnsi="Arial" w:hint="default"/>
      </w:rPr>
    </w:lvl>
    <w:lvl w:ilvl="2" w:tplc="EE8E4850" w:tentative="1">
      <w:start w:val="1"/>
      <w:numFmt w:val="bullet"/>
      <w:lvlText w:val="•"/>
      <w:lvlJc w:val="left"/>
      <w:pPr>
        <w:tabs>
          <w:tab w:val="num" w:pos="2160"/>
        </w:tabs>
        <w:ind w:left="2160" w:hanging="360"/>
      </w:pPr>
      <w:rPr>
        <w:rFonts w:ascii="Arial" w:hAnsi="Arial" w:hint="default"/>
      </w:rPr>
    </w:lvl>
    <w:lvl w:ilvl="3" w:tplc="AC04A6AC" w:tentative="1">
      <w:start w:val="1"/>
      <w:numFmt w:val="bullet"/>
      <w:lvlText w:val="•"/>
      <w:lvlJc w:val="left"/>
      <w:pPr>
        <w:tabs>
          <w:tab w:val="num" w:pos="2880"/>
        </w:tabs>
        <w:ind w:left="2880" w:hanging="360"/>
      </w:pPr>
      <w:rPr>
        <w:rFonts w:ascii="Arial" w:hAnsi="Arial" w:hint="default"/>
      </w:rPr>
    </w:lvl>
    <w:lvl w:ilvl="4" w:tplc="832A7302" w:tentative="1">
      <w:start w:val="1"/>
      <w:numFmt w:val="bullet"/>
      <w:lvlText w:val="•"/>
      <w:lvlJc w:val="left"/>
      <w:pPr>
        <w:tabs>
          <w:tab w:val="num" w:pos="3600"/>
        </w:tabs>
        <w:ind w:left="3600" w:hanging="360"/>
      </w:pPr>
      <w:rPr>
        <w:rFonts w:ascii="Arial" w:hAnsi="Arial" w:hint="default"/>
      </w:rPr>
    </w:lvl>
    <w:lvl w:ilvl="5" w:tplc="A33EF15E" w:tentative="1">
      <w:start w:val="1"/>
      <w:numFmt w:val="bullet"/>
      <w:lvlText w:val="•"/>
      <w:lvlJc w:val="left"/>
      <w:pPr>
        <w:tabs>
          <w:tab w:val="num" w:pos="4320"/>
        </w:tabs>
        <w:ind w:left="4320" w:hanging="360"/>
      </w:pPr>
      <w:rPr>
        <w:rFonts w:ascii="Arial" w:hAnsi="Arial" w:hint="default"/>
      </w:rPr>
    </w:lvl>
    <w:lvl w:ilvl="6" w:tplc="3CC85450" w:tentative="1">
      <w:start w:val="1"/>
      <w:numFmt w:val="bullet"/>
      <w:lvlText w:val="•"/>
      <w:lvlJc w:val="left"/>
      <w:pPr>
        <w:tabs>
          <w:tab w:val="num" w:pos="5040"/>
        </w:tabs>
        <w:ind w:left="5040" w:hanging="360"/>
      </w:pPr>
      <w:rPr>
        <w:rFonts w:ascii="Arial" w:hAnsi="Arial" w:hint="default"/>
      </w:rPr>
    </w:lvl>
    <w:lvl w:ilvl="7" w:tplc="10C83942" w:tentative="1">
      <w:start w:val="1"/>
      <w:numFmt w:val="bullet"/>
      <w:lvlText w:val="•"/>
      <w:lvlJc w:val="left"/>
      <w:pPr>
        <w:tabs>
          <w:tab w:val="num" w:pos="5760"/>
        </w:tabs>
        <w:ind w:left="5760" w:hanging="360"/>
      </w:pPr>
      <w:rPr>
        <w:rFonts w:ascii="Arial" w:hAnsi="Arial" w:hint="default"/>
      </w:rPr>
    </w:lvl>
    <w:lvl w:ilvl="8" w:tplc="E48462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4C65AF"/>
    <w:multiLevelType w:val="hybridMultilevel"/>
    <w:tmpl w:val="8D101B18"/>
    <w:lvl w:ilvl="0" w:tplc="CF5EDFB2">
      <w:start w:val="1"/>
      <w:numFmt w:val="bullet"/>
      <w:lvlText w:val="•"/>
      <w:lvlJc w:val="left"/>
      <w:pPr>
        <w:tabs>
          <w:tab w:val="num" w:pos="720"/>
        </w:tabs>
        <w:ind w:left="720" w:hanging="360"/>
      </w:pPr>
      <w:rPr>
        <w:rFonts w:ascii="Arial" w:hAnsi="Arial" w:hint="default"/>
      </w:rPr>
    </w:lvl>
    <w:lvl w:ilvl="1" w:tplc="66B8F786" w:tentative="1">
      <w:start w:val="1"/>
      <w:numFmt w:val="bullet"/>
      <w:lvlText w:val="•"/>
      <w:lvlJc w:val="left"/>
      <w:pPr>
        <w:tabs>
          <w:tab w:val="num" w:pos="1440"/>
        </w:tabs>
        <w:ind w:left="1440" w:hanging="360"/>
      </w:pPr>
      <w:rPr>
        <w:rFonts w:ascii="Arial" w:hAnsi="Arial" w:hint="default"/>
      </w:rPr>
    </w:lvl>
    <w:lvl w:ilvl="2" w:tplc="93D2503E" w:tentative="1">
      <w:start w:val="1"/>
      <w:numFmt w:val="bullet"/>
      <w:lvlText w:val="•"/>
      <w:lvlJc w:val="left"/>
      <w:pPr>
        <w:tabs>
          <w:tab w:val="num" w:pos="2160"/>
        </w:tabs>
        <w:ind w:left="2160" w:hanging="360"/>
      </w:pPr>
      <w:rPr>
        <w:rFonts w:ascii="Arial" w:hAnsi="Arial" w:hint="default"/>
      </w:rPr>
    </w:lvl>
    <w:lvl w:ilvl="3" w:tplc="AAF069E4" w:tentative="1">
      <w:start w:val="1"/>
      <w:numFmt w:val="bullet"/>
      <w:lvlText w:val="•"/>
      <w:lvlJc w:val="left"/>
      <w:pPr>
        <w:tabs>
          <w:tab w:val="num" w:pos="2880"/>
        </w:tabs>
        <w:ind w:left="2880" w:hanging="360"/>
      </w:pPr>
      <w:rPr>
        <w:rFonts w:ascii="Arial" w:hAnsi="Arial" w:hint="default"/>
      </w:rPr>
    </w:lvl>
    <w:lvl w:ilvl="4" w:tplc="C56A1442" w:tentative="1">
      <w:start w:val="1"/>
      <w:numFmt w:val="bullet"/>
      <w:lvlText w:val="•"/>
      <w:lvlJc w:val="left"/>
      <w:pPr>
        <w:tabs>
          <w:tab w:val="num" w:pos="3600"/>
        </w:tabs>
        <w:ind w:left="3600" w:hanging="360"/>
      </w:pPr>
      <w:rPr>
        <w:rFonts w:ascii="Arial" w:hAnsi="Arial" w:hint="default"/>
      </w:rPr>
    </w:lvl>
    <w:lvl w:ilvl="5" w:tplc="9000CD44" w:tentative="1">
      <w:start w:val="1"/>
      <w:numFmt w:val="bullet"/>
      <w:lvlText w:val="•"/>
      <w:lvlJc w:val="left"/>
      <w:pPr>
        <w:tabs>
          <w:tab w:val="num" w:pos="4320"/>
        </w:tabs>
        <w:ind w:left="4320" w:hanging="360"/>
      </w:pPr>
      <w:rPr>
        <w:rFonts w:ascii="Arial" w:hAnsi="Arial" w:hint="default"/>
      </w:rPr>
    </w:lvl>
    <w:lvl w:ilvl="6" w:tplc="54F0E21E" w:tentative="1">
      <w:start w:val="1"/>
      <w:numFmt w:val="bullet"/>
      <w:lvlText w:val="•"/>
      <w:lvlJc w:val="left"/>
      <w:pPr>
        <w:tabs>
          <w:tab w:val="num" w:pos="5040"/>
        </w:tabs>
        <w:ind w:left="5040" w:hanging="360"/>
      </w:pPr>
      <w:rPr>
        <w:rFonts w:ascii="Arial" w:hAnsi="Arial" w:hint="default"/>
      </w:rPr>
    </w:lvl>
    <w:lvl w:ilvl="7" w:tplc="1EE8212C" w:tentative="1">
      <w:start w:val="1"/>
      <w:numFmt w:val="bullet"/>
      <w:lvlText w:val="•"/>
      <w:lvlJc w:val="left"/>
      <w:pPr>
        <w:tabs>
          <w:tab w:val="num" w:pos="5760"/>
        </w:tabs>
        <w:ind w:left="5760" w:hanging="360"/>
      </w:pPr>
      <w:rPr>
        <w:rFonts w:ascii="Arial" w:hAnsi="Arial" w:hint="default"/>
      </w:rPr>
    </w:lvl>
    <w:lvl w:ilvl="8" w:tplc="08865D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7023EA8"/>
    <w:multiLevelType w:val="hybridMultilevel"/>
    <w:tmpl w:val="C5E6B302"/>
    <w:lvl w:ilvl="0" w:tplc="FB3E0AC8">
      <w:start w:val="1"/>
      <w:numFmt w:val="bullet"/>
      <w:lvlText w:val="•"/>
      <w:lvlJc w:val="left"/>
      <w:pPr>
        <w:tabs>
          <w:tab w:val="num" w:pos="720"/>
        </w:tabs>
        <w:ind w:left="720" w:hanging="360"/>
      </w:pPr>
      <w:rPr>
        <w:rFonts w:ascii="Arial" w:hAnsi="Arial" w:hint="default"/>
      </w:rPr>
    </w:lvl>
    <w:lvl w:ilvl="1" w:tplc="0D3AC3D2" w:tentative="1">
      <w:start w:val="1"/>
      <w:numFmt w:val="bullet"/>
      <w:lvlText w:val="•"/>
      <w:lvlJc w:val="left"/>
      <w:pPr>
        <w:tabs>
          <w:tab w:val="num" w:pos="1440"/>
        </w:tabs>
        <w:ind w:left="1440" w:hanging="360"/>
      </w:pPr>
      <w:rPr>
        <w:rFonts w:ascii="Arial" w:hAnsi="Arial" w:hint="default"/>
      </w:rPr>
    </w:lvl>
    <w:lvl w:ilvl="2" w:tplc="00AE82AC" w:tentative="1">
      <w:start w:val="1"/>
      <w:numFmt w:val="bullet"/>
      <w:lvlText w:val="•"/>
      <w:lvlJc w:val="left"/>
      <w:pPr>
        <w:tabs>
          <w:tab w:val="num" w:pos="2160"/>
        </w:tabs>
        <w:ind w:left="2160" w:hanging="360"/>
      </w:pPr>
      <w:rPr>
        <w:rFonts w:ascii="Arial" w:hAnsi="Arial" w:hint="default"/>
      </w:rPr>
    </w:lvl>
    <w:lvl w:ilvl="3" w:tplc="8E12B91C" w:tentative="1">
      <w:start w:val="1"/>
      <w:numFmt w:val="bullet"/>
      <w:lvlText w:val="•"/>
      <w:lvlJc w:val="left"/>
      <w:pPr>
        <w:tabs>
          <w:tab w:val="num" w:pos="2880"/>
        </w:tabs>
        <w:ind w:left="2880" w:hanging="360"/>
      </w:pPr>
      <w:rPr>
        <w:rFonts w:ascii="Arial" w:hAnsi="Arial" w:hint="default"/>
      </w:rPr>
    </w:lvl>
    <w:lvl w:ilvl="4" w:tplc="F61E7DA6" w:tentative="1">
      <w:start w:val="1"/>
      <w:numFmt w:val="bullet"/>
      <w:lvlText w:val="•"/>
      <w:lvlJc w:val="left"/>
      <w:pPr>
        <w:tabs>
          <w:tab w:val="num" w:pos="3600"/>
        </w:tabs>
        <w:ind w:left="3600" w:hanging="360"/>
      </w:pPr>
      <w:rPr>
        <w:rFonts w:ascii="Arial" w:hAnsi="Arial" w:hint="default"/>
      </w:rPr>
    </w:lvl>
    <w:lvl w:ilvl="5" w:tplc="EE40B13A" w:tentative="1">
      <w:start w:val="1"/>
      <w:numFmt w:val="bullet"/>
      <w:lvlText w:val="•"/>
      <w:lvlJc w:val="left"/>
      <w:pPr>
        <w:tabs>
          <w:tab w:val="num" w:pos="4320"/>
        </w:tabs>
        <w:ind w:left="4320" w:hanging="360"/>
      </w:pPr>
      <w:rPr>
        <w:rFonts w:ascii="Arial" w:hAnsi="Arial" w:hint="default"/>
      </w:rPr>
    </w:lvl>
    <w:lvl w:ilvl="6" w:tplc="6B60A5E2" w:tentative="1">
      <w:start w:val="1"/>
      <w:numFmt w:val="bullet"/>
      <w:lvlText w:val="•"/>
      <w:lvlJc w:val="left"/>
      <w:pPr>
        <w:tabs>
          <w:tab w:val="num" w:pos="5040"/>
        </w:tabs>
        <w:ind w:left="5040" w:hanging="360"/>
      </w:pPr>
      <w:rPr>
        <w:rFonts w:ascii="Arial" w:hAnsi="Arial" w:hint="default"/>
      </w:rPr>
    </w:lvl>
    <w:lvl w:ilvl="7" w:tplc="610C76F2" w:tentative="1">
      <w:start w:val="1"/>
      <w:numFmt w:val="bullet"/>
      <w:lvlText w:val="•"/>
      <w:lvlJc w:val="left"/>
      <w:pPr>
        <w:tabs>
          <w:tab w:val="num" w:pos="5760"/>
        </w:tabs>
        <w:ind w:left="5760" w:hanging="360"/>
      </w:pPr>
      <w:rPr>
        <w:rFonts w:ascii="Arial" w:hAnsi="Arial" w:hint="default"/>
      </w:rPr>
    </w:lvl>
    <w:lvl w:ilvl="8" w:tplc="9670CE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112823"/>
    <w:multiLevelType w:val="hybridMultilevel"/>
    <w:tmpl w:val="EF982F8C"/>
    <w:lvl w:ilvl="0" w:tplc="85B6FB6E">
      <w:start w:val="1"/>
      <w:numFmt w:val="bullet"/>
      <w:lvlText w:val=""/>
      <w:lvlJc w:val="left"/>
      <w:pPr>
        <w:tabs>
          <w:tab w:val="num" w:pos="720"/>
        </w:tabs>
        <w:ind w:left="720" w:hanging="360"/>
      </w:pPr>
      <w:rPr>
        <w:rFonts w:ascii="Wingdings" w:hAnsi="Wingdings" w:hint="default"/>
      </w:rPr>
    </w:lvl>
    <w:lvl w:ilvl="1" w:tplc="353221FC">
      <w:start w:val="1"/>
      <w:numFmt w:val="bullet"/>
      <w:lvlText w:val=""/>
      <w:lvlJc w:val="left"/>
      <w:pPr>
        <w:tabs>
          <w:tab w:val="num" w:pos="1440"/>
        </w:tabs>
        <w:ind w:left="1440" w:hanging="360"/>
      </w:pPr>
      <w:rPr>
        <w:rFonts w:ascii="Wingdings" w:hAnsi="Wingdings" w:hint="default"/>
      </w:rPr>
    </w:lvl>
    <w:lvl w:ilvl="2" w:tplc="25B8702A" w:tentative="1">
      <w:start w:val="1"/>
      <w:numFmt w:val="bullet"/>
      <w:lvlText w:val=""/>
      <w:lvlJc w:val="left"/>
      <w:pPr>
        <w:tabs>
          <w:tab w:val="num" w:pos="2160"/>
        </w:tabs>
        <w:ind w:left="2160" w:hanging="360"/>
      </w:pPr>
      <w:rPr>
        <w:rFonts w:ascii="Wingdings" w:hAnsi="Wingdings" w:hint="default"/>
      </w:rPr>
    </w:lvl>
    <w:lvl w:ilvl="3" w:tplc="62F24144" w:tentative="1">
      <w:start w:val="1"/>
      <w:numFmt w:val="bullet"/>
      <w:lvlText w:val=""/>
      <w:lvlJc w:val="left"/>
      <w:pPr>
        <w:tabs>
          <w:tab w:val="num" w:pos="2880"/>
        </w:tabs>
        <w:ind w:left="2880" w:hanging="360"/>
      </w:pPr>
      <w:rPr>
        <w:rFonts w:ascii="Wingdings" w:hAnsi="Wingdings" w:hint="default"/>
      </w:rPr>
    </w:lvl>
    <w:lvl w:ilvl="4" w:tplc="434C14BE" w:tentative="1">
      <w:start w:val="1"/>
      <w:numFmt w:val="bullet"/>
      <w:lvlText w:val=""/>
      <w:lvlJc w:val="left"/>
      <w:pPr>
        <w:tabs>
          <w:tab w:val="num" w:pos="3600"/>
        </w:tabs>
        <w:ind w:left="3600" w:hanging="360"/>
      </w:pPr>
      <w:rPr>
        <w:rFonts w:ascii="Wingdings" w:hAnsi="Wingdings" w:hint="default"/>
      </w:rPr>
    </w:lvl>
    <w:lvl w:ilvl="5" w:tplc="1A8244D0" w:tentative="1">
      <w:start w:val="1"/>
      <w:numFmt w:val="bullet"/>
      <w:lvlText w:val=""/>
      <w:lvlJc w:val="left"/>
      <w:pPr>
        <w:tabs>
          <w:tab w:val="num" w:pos="4320"/>
        </w:tabs>
        <w:ind w:left="4320" w:hanging="360"/>
      </w:pPr>
      <w:rPr>
        <w:rFonts w:ascii="Wingdings" w:hAnsi="Wingdings" w:hint="default"/>
      </w:rPr>
    </w:lvl>
    <w:lvl w:ilvl="6" w:tplc="4E9AC3CC" w:tentative="1">
      <w:start w:val="1"/>
      <w:numFmt w:val="bullet"/>
      <w:lvlText w:val=""/>
      <w:lvlJc w:val="left"/>
      <w:pPr>
        <w:tabs>
          <w:tab w:val="num" w:pos="5040"/>
        </w:tabs>
        <w:ind w:left="5040" w:hanging="360"/>
      </w:pPr>
      <w:rPr>
        <w:rFonts w:ascii="Wingdings" w:hAnsi="Wingdings" w:hint="default"/>
      </w:rPr>
    </w:lvl>
    <w:lvl w:ilvl="7" w:tplc="F5E015DC" w:tentative="1">
      <w:start w:val="1"/>
      <w:numFmt w:val="bullet"/>
      <w:lvlText w:val=""/>
      <w:lvlJc w:val="left"/>
      <w:pPr>
        <w:tabs>
          <w:tab w:val="num" w:pos="5760"/>
        </w:tabs>
        <w:ind w:left="5760" w:hanging="360"/>
      </w:pPr>
      <w:rPr>
        <w:rFonts w:ascii="Wingdings" w:hAnsi="Wingdings" w:hint="default"/>
      </w:rPr>
    </w:lvl>
    <w:lvl w:ilvl="8" w:tplc="F7C04D7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85"/>
    <w:rsid w:val="003C4050"/>
    <w:rsid w:val="00AD1C40"/>
    <w:rsid w:val="00B03955"/>
    <w:rsid w:val="00D30285"/>
    <w:rsid w:val="00EA79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5304"/>
  <w15:chartTrackingRefBased/>
  <w15:docId w15:val="{CF6834BC-0F45-432C-A385-57E52A35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285"/>
    <w:pPr>
      <w:ind w:left="720"/>
      <w:contextualSpacing/>
    </w:pPr>
  </w:style>
  <w:style w:type="character" w:styleId="Hyperlink">
    <w:name w:val="Hyperlink"/>
    <w:basedOn w:val="DefaultParagraphFont"/>
    <w:uiPriority w:val="99"/>
    <w:unhideWhenUsed/>
    <w:rsid w:val="00D30285"/>
    <w:rPr>
      <w:color w:val="0563C1" w:themeColor="hyperlink"/>
      <w:u w:val="single"/>
    </w:rPr>
  </w:style>
  <w:style w:type="character" w:styleId="UnresolvedMention">
    <w:name w:val="Unresolved Mention"/>
    <w:basedOn w:val="DefaultParagraphFont"/>
    <w:uiPriority w:val="99"/>
    <w:semiHidden/>
    <w:unhideWhenUsed/>
    <w:rsid w:val="00D30285"/>
    <w:rPr>
      <w:color w:val="605E5C"/>
      <w:shd w:val="clear" w:color="auto" w:fill="E1DFDD"/>
    </w:rPr>
  </w:style>
  <w:style w:type="character" w:styleId="CommentReference">
    <w:name w:val="annotation reference"/>
    <w:basedOn w:val="DefaultParagraphFont"/>
    <w:uiPriority w:val="99"/>
    <w:semiHidden/>
    <w:unhideWhenUsed/>
    <w:rsid w:val="00EA79A1"/>
    <w:rPr>
      <w:sz w:val="16"/>
      <w:szCs w:val="16"/>
    </w:rPr>
  </w:style>
  <w:style w:type="paragraph" w:styleId="CommentText">
    <w:name w:val="annotation text"/>
    <w:basedOn w:val="Normal"/>
    <w:link w:val="CommentTextChar"/>
    <w:uiPriority w:val="99"/>
    <w:semiHidden/>
    <w:unhideWhenUsed/>
    <w:rsid w:val="00EA79A1"/>
    <w:pPr>
      <w:spacing w:line="240" w:lineRule="auto"/>
    </w:pPr>
    <w:rPr>
      <w:sz w:val="20"/>
      <w:szCs w:val="20"/>
    </w:rPr>
  </w:style>
  <w:style w:type="character" w:customStyle="1" w:styleId="CommentTextChar">
    <w:name w:val="Comment Text Char"/>
    <w:basedOn w:val="DefaultParagraphFont"/>
    <w:link w:val="CommentText"/>
    <w:uiPriority w:val="99"/>
    <w:semiHidden/>
    <w:rsid w:val="00EA79A1"/>
    <w:rPr>
      <w:sz w:val="20"/>
      <w:szCs w:val="20"/>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basedOn w:val="CommentTextChar"/>
    <w:link w:val="CommentSubject"/>
    <w:uiPriority w:val="99"/>
    <w:semiHidden/>
    <w:rsid w:val="00EA79A1"/>
    <w:rPr>
      <w:b/>
      <w:bCs/>
      <w:sz w:val="20"/>
      <w:szCs w:val="20"/>
    </w:rPr>
  </w:style>
  <w:style w:type="paragraph" w:styleId="BalloonText">
    <w:name w:val="Balloon Text"/>
    <w:basedOn w:val="Normal"/>
    <w:link w:val="BalloonTextChar"/>
    <w:uiPriority w:val="99"/>
    <w:semiHidden/>
    <w:unhideWhenUsed/>
    <w:rsid w:val="00EA7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9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750865">
      <w:bodyDiv w:val="1"/>
      <w:marLeft w:val="0"/>
      <w:marRight w:val="0"/>
      <w:marTop w:val="0"/>
      <w:marBottom w:val="0"/>
      <w:divBdr>
        <w:top w:val="none" w:sz="0" w:space="0" w:color="auto"/>
        <w:left w:val="none" w:sz="0" w:space="0" w:color="auto"/>
        <w:bottom w:val="none" w:sz="0" w:space="0" w:color="auto"/>
        <w:right w:val="none" w:sz="0" w:space="0" w:color="auto"/>
      </w:divBdr>
      <w:divsChild>
        <w:div w:id="1961186479">
          <w:marLeft w:val="274"/>
          <w:marRight w:val="0"/>
          <w:marTop w:val="0"/>
          <w:marBottom w:val="0"/>
          <w:divBdr>
            <w:top w:val="none" w:sz="0" w:space="0" w:color="auto"/>
            <w:left w:val="none" w:sz="0" w:space="0" w:color="auto"/>
            <w:bottom w:val="none" w:sz="0" w:space="0" w:color="auto"/>
            <w:right w:val="none" w:sz="0" w:space="0" w:color="auto"/>
          </w:divBdr>
        </w:div>
        <w:div w:id="1441875170">
          <w:marLeft w:val="274"/>
          <w:marRight w:val="0"/>
          <w:marTop w:val="0"/>
          <w:marBottom w:val="0"/>
          <w:divBdr>
            <w:top w:val="none" w:sz="0" w:space="0" w:color="auto"/>
            <w:left w:val="none" w:sz="0" w:space="0" w:color="auto"/>
            <w:bottom w:val="none" w:sz="0" w:space="0" w:color="auto"/>
            <w:right w:val="none" w:sz="0" w:space="0" w:color="auto"/>
          </w:divBdr>
        </w:div>
        <w:div w:id="376509400">
          <w:marLeft w:val="274"/>
          <w:marRight w:val="0"/>
          <w:marTop w:val="0"/>
          <w:marBottom w:val="0"/>
          <w:divBdr>
            <w:top w:val="none" w:sz="0" w:space="0" w:color="auto"/>
            <w:left w:val="none" w:sz="0" w:space="0" w:color="auto"/>
            <w:bottom w:val="none" w:sz="0" w:space="0" w:color="auto"/>
            <w:right w:val="none" w:sz="0" w:space="0" w:color="auto"/>
          </w:divBdr>
        </w:div>
        <w:div w:id="39325868">
          <w:marLeft w:val="274"/>
          <w:marRight w:val="0"/>
          <w:marTop w:val="0"/>
          <w:marBottom w:val="0"/>
          <w:divBdr>
            <w:top w:val="none" w:sz="0" w:space="0" w:color="auto"/>
            <w:left w:val="none" w:sz="0" w:space="0" w:color="auto"/>
            <w:bottom w:val="none" w:sz="0" w:space="0" w:color="auto"/>
            <w:right w:val="none" w:sz="0" w:space="0" w:color="auto"/>
          </w:divBdr>
        </w:div>
        <w:div w:id="25103757">
          <w:marLeft w:val="274"/>
          <w:marRight w:val="0"/>
          <w:marTop w:val="0"/>
          <w:marBottom w:val="0"/>
          <w:divBdr>
            <w:top w:val="none" w:sz="0" w:space="0" w:color="auto"/>
            <w:left w:val="none" w:sz="0" w:space="0" w:color="auto"/>
            <w:bottom w:val="none" w:sz="0" w:space="0" w:color="auto"/>
            <w:right w:val="none" w:sz="0" w:space="0" w:color="auto"/>
          </w:divBdr>
        </w:div>
        <w:div w:id="451478208">
          <w:marLeft w:val="274"/>
          <w:marRight w:val="0"/>
          <w:marTop w:val="0"/>
          <w:marBottom w:val="0"/>
          <w:divBdr>
            <w:top w:val="none" w:sz="0" w:space="0" w:color="auto"/>
            <w:left w:val="none" w:sz="0" w:space="0" w:color="auto"/>
            <w:bottom w:val="none" w:sz="0" w:space="0" w:color="auto"/>
            <w:right w:val="none" w:sz="0" w:space="0" w:color="auto"/>
          </w:divBdr>
        </w:div>
        <w:div w:id="1733770261">
          <w:marLeft w:val="274"/>
          <w:marRight w:val="0"/>
          <w:marTop w:val="0"/>
          <w:marBottom w:val="0"/>
          <w:divBdr>
            <w:top w:val="none" w:sz="0" w:space="0" w:color="auto"/>
            <w:left w:val="none" w:sz="0" w:space="0" w:color="auto"/>
            <w:bottom w:val="none" w:sz="0" w:space="0" w:color="auto"/>
            <w:right w:val="none" w:sz="0" w:space="0" w:color="auto"/>
          </w:divBdr>
        </w:div>
      </w:divsChild>
    </w:div>
    <w:div w:id="437218425">
      <w:bodyDiv w:val="1"/>
      <w:marLeft w:val="0"/>
      <w:marRight w:val="0"/>
      <w:marTop w:val="0"/>
      <w:marBottom w:val="0"/>
      <w:divBdr>
        <w:top w:val="none" w:sz="0" w:space="0" w:color="auto"/>
        <w:left w:val="none" w:sz="0" w:space="0" w:color="auto"/>
        <w:bottom w:val="none" w:sz="0" w:space="0" w:color="auto"/>
        <w:right w:val="none" w:sz="0" w:space="0" w:color="auto"/>
      </w:divBdr>
      <w:divsChild>
        <w:div w:id="1529367777">
          <w:marLeft w:val="274"/>
          <w:marRight w:val="0"/>
          <w:marTop w:val="0"/>
          <w:marBottom w:val="0"/>
          <w:divBdr>
            <w:top w:val="none" w:sz="0" w:space="0" w:color="auto"/>
            <w:left w:val="none" w:sz="0" w:space="0" w:color="auto"/>
            <w:bottom w:val="none" w:sz="0" w:space="0" w:color="auto"/>
            <w:right w:val="none" w:sz="0" w:space="0" w:color="auto"/>
          </w:divBdr>
        </w:div>
        <w:div w:id="793016891">
          <w:marLeft w:val="274"/>
          <w:marRight w:val="0"/>
          <w:marTop w:val="0"/>
          <w:marBottom w:val="0"/>
          <w:divBdr>
            <w:top w:val="none" w:sz="0" w:space="0" w:color="auto"/>
            <w:left w:val="none" w:sz="0" w:space="0" w:color="auto"/>
            <w:bottom w:val="none" w:sz="0" w:space="0" w:color="auto"/>
            <w:right w:val="none" w:sz="0" w:space="0" w:color="auto"/>
          </w:divBdr>
        </w:div>
        <w:div w:id="2072729373">
          <w:marLeft w:val="274"/>
          <w:marRight w:val="0"/>
          <w:marTop w:val="0"/>
          <w:marBottom w:val="0"/>
          <w:divBdr>
            <w:top w:val="none" w:sz="0" w:space="0" w:color="auto"/>
            <w:left w:val="none" w:sz="0" w:space="0" w:color="auto"/>
            <w:bottom w:val="none" w:sz="0" w:space="0" w:color="auto"/>
            <w:right w:val="none" w:sz="0" w:space="0" w:color="auto"/>
          </w:divBdr>
        </w:div>
      </w:divsChild>
    </w:div>
    <w:div w:id="612858598">
      <w:bodyDiv w:val="1"/>
      <w:marLeft w:val="0"/>
      <w:marRight w:val="0"/>
      <w:marTop w:val="0"/>
      <w:marBottom w:val="0"/>
      <w:divBdr>
        <w:top w:val="none" w:sz="0" w:space="0" w:color="auto"/>
        <w:left w:val="none" w:sz="0" w:space="0" w:color="auto"/>
        <w:bottom w:val="none" w:sz="0" w:space="0" w:color="auto"/>
        <w:right w:val="none" w:sz="0" w:space="0" w:color="auto"/>
      </w:divBdr>
      <w:divsChild>
        <w:div w:id="1546870271">
          <w:marLeft w:val="864"/>
          <w:marRight w:val="0"/>
          <w:marTop w:val="106"/>
          <w:marBottom w:val="0"/>
          <w:divBdr>
            <w:top w:val="none" w:sz="0" w:space="0" w:color="auto"/>
            <w:left w:val="none" w:sz="0" w:space="0" w:color="auto"/>
            <w:bottom w:val="none" w:sz="0" w:space="0" w:color="auto"/>
            <w:right w:val="none" w:sz="0" w:space="0" w:color="auto"/>
          </w:divBdr>
        </w:div>
        <w:div w:id="961544560">
          <w:marLeft w:val="864"/>
          <w:marRight w:val="0"/>
          <w:marTop w:val="106"/>
          <w:marBottom w:val="0"/>
          <w:divBdr>
            <w:top w:val="none" w:sz="0" w:space="0" w:color="auto"/>
            <w:left w:val="none" w:sz="0" w:space="0" w:color="auto"/>
            <w:bottom w:val="none" w:sz="0" w:space="0" w:color="auto"/>
            <w:right w:val="none" w:sz="0" w:space="0" w:color="auto"/>
          </w:divBdr>
        </w:div>
        <w:div w:id="1051147092">
          <w:marLeft w:val="864"/>
          <w:marRight w:val="0"/>
          <w:marTop w:val="106"/>
          <w:marBottom w:val="0"/>
          <w:divBdr>
            <w:top w:val="none" w:sz="0" w:space="0" w:color="auto"/>
            <w:left w:val="none" w:sz="0" w:space="0" w:color="auto"/>
            <w:bottom w:val="none" w:sz="0" w:space="0" w:color="auto"/>
            <w:right w:val="none" w:sz="0" w:space="0" w:color="auto"/>
          </w:divBdr>
        </w:div>
      </w:divsChild>
    </w:div>
    <w:div w:id="769593413">
      <w:bodyDiv w:val="1"/>
      <w:marLeft w:val="0"/>
      <w:marRight w:val="0"/>
      <w:marTop w:val="0"/>
      <w:marBottom w:val="0"/>
      <w:divBdr>
        <w:top w:val="none" w:sz="0" w:space="0" w:color="auto"/>
        <w:left w:val="none" w:sz="0" w:space="0" w:color="auto"/>
        <w:bottom w:val="none" w:sz="0" w:space="0" w:color="auto"/>
        <w:right w:val="none" w:sz="0" w:space="0" w:color="auto"/>
      </w:divBdr>
      <w:divsChild>
        <w:div w:id="1960254931">
          <w:marLeft w:val="274"/>
          <w:marRight w:val="0"/>
          <w:marTop w:val="0"/>
          <w:marBottom w:val="0"/>
          <w:divBdr>
            <w:top w:val="none" w:sz="0" w:space="0" w:color="auto"/>
            <w:left w:val="none" w:sz="0" w:space="0" w:color="auto"/>
            <w:bottom w:val="none" w:sz="0" w:space="0" w:color="auto"/>
            <w:right w:val="none" w:sz="0" w:space="0" w:color="auto"/>
          </w:divBdr>
        </w:div>
        <w:div w:id="740954774">
          <w:marLeft w:val="274"/>
          <w:marRight w:val="0"/>
          <w:marTop w:val="0"/>
          <w:marBottom w:val="0"/>
          <w:divBdr>
            <w:top w:val="none" w:sz="0" w:space="0" w:color="auto"/>
            <w:left w:val="none" w:sz="0" w:space="0" w:color="auto"/>
            <w:bottom w:val="none" w:sz="0" w:space="0" w:color="auto"/>
            <w:right w:val="none" w:sz="0" w:space="0" w:color="auto"/>
          </w:divBdr>
        </w:div>
        <w:div w:id="1950425430">
          <w:marLeft w:val="274"/>
          <w:marRight w:val="0"/>
          <w:marTop w:val="0"/>
          <w:marBottom w:val="0"/>
          <w:divBdr>
            <w:top w:val="none" w:sz="0" w:space="0" w:color="auto"/>
            <w:left w:val="none" w:sz="0" w:space="0" w:color="auto"/>
            <w:bottom w:val="none" w:sz="0" w:space="0" w:color="auto"/>
            <w:right w:val="none" w:sz="0" w:space="0" w:color="auto"/>
          </w:divBdr>
        </w:div>
        <w:div w:id="831600114">
          <w:marLeft w:val="274"/>
          <w:marRight w:val="0"/>
          <w:marTop w:val="0"/>
          <w:marBottom w:val="0"/>
          <w:divBdr>
            <w:top w:val="none" w:sz="0" w:space="0" w:color="auto"/>
            <w:left w:val="none" w:sz="0" w:space="0" w:color="auto"/>
            <w:bottom w:val="none" w:sz="0" w:space="0" w:color="auto"/>
            <w:right w:val="none" w:sz="0" w:space="0" w:color="auto"/>
          </w:divBdr>
        </w:div>
        <w:div w:id="1890025335">
          <w:marLeft w:val="274"/>
          <w:marRight w:val="0"/>
          <w:marTop w:val="0"/>
          <w:marBottom w:val="0"/>
          <w:divBdr>
            <w:top w:val="none" w:sz="0" w:space="0" w:color="auto"/>
            <w:left w:val="none" w:sz="0" w:space="0" w:color="auto"/>
            <w:bottom w:val="none" w:sz="0" w:space="0" w:color="auto"/>
            <w:right w:val="none" w:sz="0" w:space="0" w:color="auto"/>
          </w:divBdr>
        </w:div>
        <w:div w:id="791098230">
          <w:marLeft w:val="274"/>
          <w:marRight w:val="0"/>
          <w:marTop w:val="0"/>
          <w:marBottom w:val="0"/>
          <w:divBdr>
            <w:top w:val="none" w:sz="0" w:space="0" w:color="auto"/>
            <w:left w:val="none" w:sz="0" w:space="0" w:color="auto"/>
            <w:bottom w:val="none" w:sz="0" w:space="0" w:color="auto"/>
            <w:right w:val="none" w:sz="0" w:space="0" w:color="auto"/>
          </w:divBdr>
        </w:div>
        <w:div w:id="1686326157">
          <w:marLeft w:val="274"/>
          <w:marRight w:val="0"/>
          <w:marTop w:val="0"/>
          <w:marBottom w:val="0"/>
          <w:divBdr>
            <w:top w:val="none" w:sz="0" w:space="0" w:color="auto"/>
            <w:left w:val="none" w:sz="0" w:space="0" w:color="auto"/>
            <w:bottom w:val="none" w:sz="0" w:space="0" w:color="auto"/>
            <w:right w:val="none" w:sz="0" w:space="0" w:color="auto"/>
          </w:divBdr>
        </w:div>
        <w:div w:id="1879703600">
          <w:marLeft w:val="274"/>
          <w:marRight w:val="0"/>
          <w:marTop w:val="0"/>
          <w:marBottom w:val="0"/>
          <w:divBdr>
            <w:top w:val="none" w:sz="0" w:space="0" w:color="auto"/>
            <w:left w:val="none" w:sz="0" w:space="0" w:color="auto"/>
            <w:bottom w:val="none" w:sz="0" w:space="0" w:color="auto"/>
            <w:right w:val="none" w:sz="0" w:space="0" w:color="auto"/>
          </w:divBdr>
        </w:div>
      </w:divsChild>
    </w:div>
    <w:div w:id="1347050597">
      <w:bodyDiv w:val="1"/>
      <w:marLeft w:val="0"/>
      <w:marRight w:val="0"/>
      <w:marTop w:val="0"/>
      <w:marBottom w:val="0"/>
      <w:divBdr>
        <w:top w:val="none" w:sz="0" w:space="0" w:color="auto"/>
        <w:left w:val="none" w:sz="0" w:space="0" w:color="auto"/>
        <w:bottom w:val="none" w:sz="0" w:space="0" w:color="auto"/>
        <w:right w:val="none" w:sz="0" w:space="0" w:color="auto"/>
      </w:divBdr>
    </w:div>
    <w:div w:id="1420834913">
      <w:bodyDiv w:val="1"/>
      <w:marLeft w:val="0"/>
      <w:marRight w:val="0"/>
      <w:marTop w:val="0"/>
      <w:marBottom w:val="0"/>
      <w:divBdr>
        <w:top w:val="none" w:sz="0" w:space="0" w:color="auto"/>
        <w:left w:val="none" w:sz="0" w:space="0" w:color="auto"/>
        <w:bottom w:val="none" w:sz="0" w:space="0" w:color="auto"/>
        <w:right w:val="none" w:sz="0" w:space="0" w:color="auto"/>
      </w:divBdr>
      <w:divsChild>
        <w:div w:id="2023704499">
          <w:marLeft w:val="274"/>
          <w:marRight w:val="0"/>
          <w:marTop w:val="0"/>
          <w:marBottom w:val="0"/>
          <w:divBdr>
            <w:top w:val="none" w:sz="0" w:space="0" w:color="auto"/>
            <w:left w:val="none" w:sz="0" w:space="0" w:color="auto"/>
            <w:bottom w:val="none" w:sz="0" w:space="0" w:color="auto"/>
            <w:right w:val="none" w:sz="0" w:space="0" w:color="auto"/>
          </w:divBdr>
        </w:div>
        <w:div w:id="956637818">
          <w:marLeft w:val="274"/>
          <w:marRight w:val="0"/>
          <w:marTop w:val="0"/>
          <w:marBottom w:val="0"/>
          <w:divBdr>
            <w:top w:val="none" w:sz="0" w:space="0" w:color="auto"/>
            <w:left w:val="none" w:sz="0" w:space="0" w:color="auto"/>
            <w:bottom w:val="none" w:sz="0" w:space="0" w:color="auto"/>
            <w:right w:val="none" w:sz="0" w:space="0" w:color="auto"/>
          </w:divBdr>
        </w:div>
        <w:div w:id="1842894726">
          <w:marLeft w:val="274"/>
          <w:marRight w:val="0"/>
          <w:marTop w:val="0"/>
          <w:marBottom w:val="0"/>
          <w:divBdr>
            <w:top w:val="none" w:sz="0" w:space="0" w:color="auto"/>
            <w:left w:val="none" w:sz="0" w:space="0" w:color="auto"/>
            <w:bottom w:val="none" w:sz="0" w:space="0" w:color="auto"/>
            <w:right w:val="none" w:sz="0" w:space="0" w:color="auto"/>
          </w:divBdr>
        </w:div>
        <w:div w:id="1206676388">
          <w:marLeft w:val="274"/>
          <w:marRight w:val="0"/>
          <w:marTop w:val="0"/>
          <w:marBottom w:val="0"/>
          <w:divBdr>
            <w:top w:val="none" w:sz="0" w:space="0" w:color="auto"/>
            <w:left w:val="none" w:sz="0" w:space="0" w:color="auto"/>
            <w:bottom w:val="none" w:sz="0" w:space="0" w:color="auto"/>
            <w:right w:val="none" w:sz="0" w:space="0" w:color="auto"/>
          </w:divBdr>
        </w:div>
        <w:div w:id="75515725">
          <w:marLeft w:val="274"/>
          <w:marRight w:val="0"/>
          <w:marTop w:val="0"/>
          <w:marBottom w:val="0"/>
          <w:divBdr>
            <w:top w:val="none" w:sz="0" w:space="0" w:color="auto"/>
            <w:left w:val="none" w:sz="0" w:space="0" w:color="auto"/>
            <w:bottom w:val="none" w:sz="0" w:space="0" w:color="auto"/>
            <w:right w:val="none" w:sz="0" w:space="0" w:color="auto"/>
          </w:divBdr>
        </w:div>
        <w:div w:id="1996568699">
          <w:marLeft w:val="274"/>
          <w:marRight w:val="0"/>
          <w:marTop w:val="0"/>
          <w:marBottom w:val="0"/>
          <w:divBdr>
            <w:top w:val="none" w:sz="0" w:space="0" w:color="auto"/>
            <w:left w:val="none" w:sz="0" w:space="0" w:color="auto"/>
            <w:bottom w:val="none" w:sz="0" w:space="0" w:color="auto"/>
            <w:right w:val="none" w:sz="0" w:space="0" w:color="auto"/>
          </w:divBdr>
        </w:div>
        <w:div w:id="192363867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istory.state.gov/historicaldocuments/frus1969-76v17/d2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Galvin</dc:creator>
  <cp:keywords/>
  <dc:description/>
  <cp:lastModifiedBy>Anastasia Galvin</cp:lastModifiedBy>
  <cp:revision>3</cp:revision>
  <dcterms:created xsi:type="dcterms:W3CDTF">2021-01-06T17:16:00Z</dcterms:created>
  <dcterms:modified xsi:type="dcterms:W3CDTF">2021-01-06T17:59:00Z</dcterms:modified>
</cp:coreProperties>
</file>