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5B45" w14:textId="1D31568E" w:rsidR="005527E3" w:rsidRDefault="007C4AE2">
      <w:r>
        <w:t>Unit 1</w:t>
      </w:r>
    </w:p>
    <w:tbl>
      <w:tblPr>
        <w:tblW w:w="13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332"/>
      </w:tblGrid>
      <w:tr w:rsidR="007C4AE2" w:rsidRPr="008C605C" w14:paraId="104BF048" w14:textId="77777777" w:rsidTr="007C4AE2">
        <w:trPr>
          <w:trHeight w:val="1670"/>
        </w:trPr>
        <w:tc>
          <w:tcPr>
            <w:tcW w:w="1276" w:type="dxa"/>
          </w:tcPr>
          <w:p w14:paraId="05737A83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Types of data</w:t>
            </w:r>
          </w:p>
        </w:tc>
        <w:tc>
          <w:tcPr>
            <w:tcW w:w="12332" w:type="dxa"/>
          </w:tcPr>
          <w:p w14:paraId="517C6519" w14:textId="77777777" w:rsidR="007C4AE2" w:rsidRPr="008C605C" w:rsidRDefault="007C4AE2" w:rsidP="00D14B5D">
            <w:pPr>
              <w:autoSpaceDE w:val="0"/>
              <w:autoSpaceDN w:val="0"/>
              <w:adjustRightInd w:val="0"/>
              <w:rPr>
                <w:rFonts w:ascii="Trebuchet MS" w:eastAsia="Verdana" w:hAnsi="Trebuchet MS" w:cs="Verdana"/>
                <w:sz w:val="20"/>
                <w:szCs w:val="20"/>
              </w:rPr>
            </w:pPr>
            <w:r w:rsidRPr="008C605C">
              <w:rPr>
                <w:rFonts w:ascii="Trebuchet MS" w:hAnsi="Trebuchet MS" w:cs="Verdana"/>
                <w:sz w:val="20"/>
                <w:szCs w:val="20"/>
              </w:rPr>
              <w:t>know that a hypothesis can be tested only through the appropriate collection and analysis of data. formal use of null hypothesis will not be required</w:t>
            </w:r>
          </w:p>
          <w:p w14:paraId="2C3F450D" w14:textId="77777777" w:rsidR="007C4AE2" w:rsidRPr="008C605C" w:rsidRDefault="007C4AE2" w:rsidP="00D14B5D">
            <w:pPr>
              <w:autoSpaceDE w:val="0"/>
              <w:autoSpaceDN w:val="0"/>
              <w:adjustRightInd w:val="0"/>
              <w:rPr>
                <w:rFonts w:ascii="Trebuchet MS" w:eastAsia="Verdana" w:hAnsi="Trebuchet MS" w:cs="Verdana"/>
                <w:sz w:val="20"/>
                <w:szCs w:val="20"/>
              </w:rPr>
            </w:pPr>
            <w:r w:rsidRPr="008C605C">
              <w:rPr>
                <w:rFonts w:ascii="Trebuchet MS" w:hAnsi="Trebuchet MS" w:cs="Verdana"/>
                <w:sz w:val="20"/>
                <w:szCs w:val="20"/>
              </w:rPr>
              <w:t>know the constraints that may be faced in designing an investigation to test a hypothesis including factors such as time, costs, ethical issues, confidentiality, convenience</w:t>
            </w:r>
          </w:p>
          <w:p w14:paraId="1248DCD1" w14:textId="77777777" w:rsidR="007C4AE2" w:rsidRPr="008C605C" w:rsidRDefault="007C4AE2" w:rsidP="00D14B5D">
            <w:pPr>
              <w:autoSpaceDE w:val="0"/>
              <w:autoSpaceDN w:val="0"/>
              <w:adjustRightInd w:val="0"/>
              <w:rPr>
                <w:rFonts w:ascii="Trebuchet MS" w:eastAsia="Verdana" w:hAnsi="Trebuchet MS" w:cs="Verdana"/>
                <w:sz w:val="20"/>
                <w:szCs w:val="20"/>
              </w:rPr>
            </w:pPr>
            <w:r w:rsidRPr="008C605C">
              <w:rPr>
                <w:rFonts w:ascii="Trebuchet MS" w:hAnsi="Trebuchet MS" w:cs="Verdana"/>
                <w:sz w:val="20"/>
                <w:szCs w:val="20"/>
              </w:rPr>
              <w:t>determine proactive strategies to mitigate issues that might arise during the statistical enquiry process</w:t>
            </w:r>
          </w:p>
        </w:tc>
      </w:tr>
      <w:tr w:rsidR="007C4AE2" w14:paraId="6C3EA202" w14:textId="77777777" w:rsidTr="007C4AE2">
        <w:trPr>
          <w:trHeight w:val="434"/>
        </w:trPr>
        <w:tc>
          <w:tcPr>
            <w:tcW w:w="1276" w:type="dxa"/>
          </w:tcPr>
          <w:p w14:paraId="4C4DB007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Population and sampling</w:t>
            </w:r>
          </w:p>
        </w:tc>
        <w:tc>
          <w:tcPr>
            <w:tcW w:w="12332" w:type="dxa"/>
          </w:tcPr>
          <w:p w14:paraId="16ADB793" w14:textId="77777777" w:rsidR="007C4AE2" w:rsidRPr="008C605C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C605C">
              <w:rPr>
                <w:rFonts w:ascii="Trebuchet MS" w:eastAsia="Trebuchet MS" w:hAnsi="Trebuchet MS" w:cs="Trebuchet MS"/>
                <w:sz w:val="20"/>
                <w:szCs w:val="20"/>
              </w:rPr>
              <w:t>know and apply terms used to describe different types of data that can be collected for statistical analysis: raw data, quantitative, qualitative, categorical, ordinal, discrete, continuous, ungrouped, grouped, bivariate and multivariate</w:t>
            </w:r>
          </w:p>
          <w:p w14:paraId="21683641" w14:textId="77777777" w:rsidR="007C4AE2" w:rsidRPr="008C605C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C605C">
              <w:rPr>
                <w:rFonts w:ascii="Trebuchet MS" w:eastAsia="Trebuchet MS" w:hAnsi="Trebuchet MS" w:cs="Trebuchet MS"/>
                <w:sz w:val="20"/>
                <w:szCs w:val="20"/>
              </w:rPr>
              <w:t>know the advantages and implications of merging data into more general categories, and of grouping numerical data into class intervals</w:t>
            </w:r>
          </w:p>
          <w:p w14:paraId="35F629C4" w14:textId="77777777" w:rsidR="007C4AE2" w:rsidRPr="008C605C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C605C">
              <w:rPr>
                <w:rFonts w:ascii="Trebuchet MS" w:eastAsia="Trebuchet MS" w:hAnsi="Trebuchet MS" w:cs="Trebuchet MS"/>
                <w:sz w:val="20"/>
                <w:szCs w:val="20"/>
              </w:rPr>
              <w:t>know and apply the terms explanatory (independent) variables and response (dependent) variables</w:t>
            </w:r>
          </w:p>
          <w:p w14:paraId="3FAD08FD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C605C">
              <w:rPr>
                <w:rFonts w:ascii="Trebuchet MS" w:eastAsia="Trebuchet MS" w:hAnsi="Trebuchet MS" w:cs="Trebuchet MS"/>
                <w:sz w:val="20"/>
                <w:szCs w:val="20"/>
              </w:rPr>
              <w:t>know the difference between primary and secondary data</w:t>
            </w:r>
          </w:p>
        </w:tc>
      </w:tr>
      <w:tr w:rsidR="007C4AE2" w:rsidRPr="008C605C" w14:paraId="39A874B4" w14:textId="77777777" w:rsidTr="007C4AE2">
        <w:trPr>
          <w:trHeight w:val="434"/>
        </w:trPr>
        <w:tc>
          <w:tcPr>
            <w:tcW w:w="1276" w:type="dxa"/>
          </w:tcPr>
          <w:p w14:paraId="39DA073C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Sampling methods</w:t>
            </w:r>
          </w:p>
        </w:tc>
        <w:tc>
          <w:tcPr>
            <w:tcW w:w="12332" w:type="dxa"/>
          </w:tcPr>
          <w:p w14:paraId="4C13DBFD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the difference between population, sample frame and sample</w:t>
            </w:r>
          </w:p>
          <w:p w14:paraId="30EB68A1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that ‘population’ can have different meanings within a stated context</w:t>
            </w:r>
          </w:p>
          <w:p w14:paraId="5219BBA8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reasons for employing judgement sampling or opportunity</w:t>
            </w:r>
          </w:p>
          <w:p w14:paraId="40410DB3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(convenience) sampling, and the associated risks of bias when these techniques are used</w:t>
            </w:r>
          </w:p>
          <w:p w14:paraId="1AB7548F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a. </w:t>
            </w:r>
            <w:proofErr w:type="gramStart"/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</w:t>
            </w:r>
            <w:proofErr w:type="gramEnd"/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appropriate sampling techniques in the context of the problem to avoid bias</w:t>
            </w:r>
          </w:p>
          <w:p w14:paraId="0633C533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b. </w:t>
            </w:r>
            <w:proofErr w:type="gramStart"/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understand</w:t>
            </w:r>
            <w:proofErr w:type="gramEnd"/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random, systematic and quota sampling</w:t>
            </w:r>
          </w:p>
          <w:p w14:paraId="0B20E170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the key features of a simple random sample and demonstrate understanding of how different techniques, both physical and electronic, are used to select random members from a population: including, but not limited to, dice, cards, random number lists, and calculator functions</w:t>
            </w:r>
          </w:p>
          <w:p w14:paraId="07754A1A" w14:textId="77777777" w:rsidR="007C4AE2" w:rsidRPr="008C605C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use stratification and know when this is appropriate before sampling takes place</w:t>
            </w:r>
          </w:p>
        </w:tc>
      </w:tr>
      <w:tr w:rsidR="007C4AE2" w:rsidRPr="00DB3D56" w14:paraId="20CC6338" w14:textId="77777777" w:rsidTr="007C4AE2">
        <w:trPr>
          <w:trHeight w:val="434"/>
        </w:trPr>
        <w:tc>
          <w:tcPr>
            <w:tcW w:w="1276" w:type="dxa"/>
          </w:tcPr>
          <w:p w14:paraId="0E91EC25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Planning and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collecting data</w:t>
            </w:r>
          </w:p>
        </w:tc>
        <w:tc>
          <w:tcPr>
            <w:tcW w:w="12332" w:type="dxa"/>
          </w:tcPr>
          <w:p w14:paraId="65460161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a. know that data can be collected from different sources: experimental (laboratory, field and natural), simulation, questionnaires, observation, reference, census, population and sampling</w:t>
            </w:r>
          </w:p>
          <w:p w14:paraId="49AFC9BE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b. know that sources of secondary data should be acknowledged</w:t>
            </w:r>
          </w:p>
          <w:p w14:paraId="77DB6040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the importance of reliability and validity with regard to collected data</w:t>
            </w:r>
          </w:p>
          <w:p w14:paraId="36087C79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determine factors that may lead to bias, including issues of sensitivity</w:t>
            </w:r>
          </w:p>
          <w:p w14:paraId="7E9C064B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of the content matter, level of control and know how to minimise data distortion</w:t>
            </w:r>
          </w:p>
          <w:p w14:paraId="42AA715E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the key features to be considered when planning data collection: leading questions, avoiding biased sources, time factors, open/closed questions, different types of interview technique</w:t>
            </w:r>
          </w:p>
          <w:p w14:paraId="1FCC0262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and demonstrate understanding of techniques used to deal with problems that may arise with collected data</w:t>
            </w:r>
          </w:p>
          <w:p w14:paraId="70843E45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why data may need to be ‘cleaned’ before further processing, including issues that arise on spreadsheets and apply techniques to clean data in context</w:t>
            </w:r>
          </w:p>
          <w:p w14:paraId="1C55C0A6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know the importance of identifying and controlling extraneous variables and the use of control groups</w:t>
            </w:r>
          </w:p>
        </w:tc>
      </w:tr>
      <w:tr w:rsidR="007C4AE2" w:rsidRPr="00DB3D56" w14:paraId="0F477AFF" w14:textId="77777777" w:rsidTr="007C4AE2">
        <w:trPr>
          <w:trHeight w:val="434"/>
        </w:trPr>
        <w:tc>
          <w:tcPr>
            <w:tcW w:w="1276" w:type="dxa"/>
          </w:tcPr>
          <w:p w14:paraId="5C0716B0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 xml:space="preserve">Peterson’s Capture </w:t>
            </w:r>
          </w:p>
        </w:tc>
        <w:tc>
          <w:tcPr>
            <w:tcW w:w="12332" w:type="dxa"/>
          </w:tcPr>
          <w:p w14:paraId="30DFA847" w14:textId="77777777" w:rsidR="007C4AE2" w:rsidRPr="00DB3D56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B3D56">
              <w:rPr>
                <w:rFonts w:ascii="Trebuchet MS" w:eastAsia="Trebuchet MS" w:hAnsi="Trebuchet MS" w:cs="Trebuchet MS"/>
                <w:sz w:val="20"/>
                <w:szCs w:val="20"/>
              </w:rPr>
              <w:t>Apply and use Peterson’s data capture technique to estimate population sizes and know the assumptions made.</w:t>
            </w:r>
          </w:p>
        </w:tc>
      </w:tr>
    </w:tbl>
    <w:p w14:paraId="08D2437B" w14:textId="52CE16F4" w:rsidR="007C4AE2" w:rsidRDefault="007C4AE2"/>
    <w:p w14:paraId="292B1DE8" w14:textId="77777777" w:rsidR="007C4AE2" w:rsidRDefault="007C4AE2">
      <w:r>
        <w:br w:type="page"/>
      </w:r>
    </w:p>
    <w:p w14:paraId="47537A03" w14:textId="6D6079BC" w:rsidR="007C4AE2" w:rsidRDefault="007C4AE2">
      <w:r>
        <w:lastRenderedPageBreak/>
        <w:t>Unit 2</w:t>
      </w:r>
    </w:p>
    <w:tbl>
      <w:tblPr>
        <w:tblW w:w="13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2048"/>
      </w:tblGrid>
      <w:tr w:rsidR="007C4AE2" w:rsidRPr="00B569FB" w14:paraId="56B77878" w14:textId="77777777" w:rsidTr="007C4AE2">
        <w:trPr>
          <w:trHeight w:val="2701"/>
        </w:trPr>
        <w:tc>
          <w:tcPr>
            <w:tcW w:w="1560" w:type="dxa"/>
          </w:tcPr>
          <w:p w14:paraId="1AE7EFAB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Qualitative and discrete data</w:t>
            </w:r>
          </w:p>
        </w:tc>
        <w:tc>
          <w:tcPr>
            <w:tcW w:w="12048" w:type="dxa"/>
          </w:tcPr>
          <w:p w14:paraId="54C18F52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Pictograms;</w:t>
            </w:r>
          </w:p>
          <w:p w14:paraId="20A431C1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Bar charts;</w:t>
            </w:r>
          </w:p>
          <w:p w14:paraId="56158158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Multiple or composite bar charts for qualitative and discrete data;</w:t>
            </w:r>
          </w:p>
          <w:p w14:paraId="120FEAB5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Vertical line graphs;</w:t>
            </w:r>
          </w:p>
          <w:p w14:paraId="07ABDE26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Stem and leaf diagrams;</w:t>
            </w:r>
          </w:p>
          <w:p w14:paraId="67761AB7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Venn diagrams;</w:t>
            </w:r>
          </w:p>
          <w:p w14:paraId="38EBC030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Understand the distinction between well-presented and poorly presented data;</w:t>
            </w:r>
          </w:p>
          <w:p w14:paraId="4738C5E2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Understand the potential for visual misuse, by omission or misrepresentation;</w:t>
            </w:r>
          </w:p>
          <w:p w14:paraId="680C3DC6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Transform from one presentation to another;</w:t>
            </w:r>
          </w:p>
          <w:p w14:paraId="38AACA7E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Understand how to discover errors in data and recognise data that does not fit a general trend or pattern;</w:t>
            </w:r>
          </w:p>
          <w:p w14:paraId="0B271D64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Use Comparative 2D and 3D representations;</w:t>
            </w:r>
          </w:p>
          <w:p w14:paraId="769F4218" w14:textId="77777777" w:rsidR="007C4AE2" w:rsidRPr="00B569FB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B569FB">
              <w:rPr>
                <w:rFonts w:ascii="Trebuchet MS" w:eastAsia="Verdana" w:hAnsi="Trebuchet MS"/>
                <w:sz w:val="20"/>
              </w:rPr>
              <w:t>•</w:t>
            </w:r>
            <w:r w:rsidRPr="00B569FB">
              <w:rPr>
                <w:rFonts w:ascii="Trebuchet MS" w:eastAsia="Verdana" w:hAnsi="Trebuchet MS"/>
                <w:sz w:val="20"/>
              </w:rPr>
              <w:tab/>
              <w:t>Group data into class intervals and be aware of the advantages and implications of doing so.</w:t>
            </w:r>
          </w:p>
        </w:tc>
      </w:tr>
      <w:tr w:rsidR="007C4AE2" w:rsidRPr="00B569FB" w14:paraId="64A40F6F" w14:textId="77777777" w:rsidTr="007C4AE2">
        <w:trPr>
          <w:trHeight w:val="434"/>
        </w:trPr>
        <w:tc>
          <w:tcPr>
            <w:tcW w:w="1560" w:type="dxa"/>
          </w:tcPr>
          <w:p w14:paraId="57958735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Continuous data</w:t>
            </w:r>
          </w:p>
        </w:tc>
        <w:tc>
          <w:tcPr>
            <w:tcW w:w="12048" w:type="dxa"/>
          </w:tcPr>
          <w:p w14:paraId="6B61B669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>
              <w:rPr>
                <w:rFonts w:ascii="Trebuchet MS" w:eastAsia="Trebuchet MS" w:hAnsi="Trebuchet MS"/>
                <w:sz w:val="20"/>
              </w:rPr>
              <w:t>•</w:t>
            </w:r>
            <w:r>
              <w:rPr>
                <w:rFonts w:ascii="Trebuchet MS" w:eastAsia="Trebuchet MS" w:hAnsi="Trebuchet MS"/>
                <w:sz w:val="20"/>
              </w:rPr>
              <w:tab/>
            </w:r>
            <w:r w:rsidRPr="00B569FB">
              <w:rPr>
                <w:rFonts w:ascii="Trebuchet MS" w:eastAsia="Trebuchet MS" w:hAnsi="Trebuchet MS"/>
                <w:sz w:val="20"/>
              </w:rPr>
              <w:t>Pie charts;</w:t>
            </w:r>
          </w:p>
          <w:p w14:paraId="1E9FDC86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Histograms with equal and unequal class intervals and unequal class intervals.</w:t>
            </w:r>
          </w:p>
          <w:p w14:paraId="75DBB640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Frequency polygons;</w:t>
            </w:r>
          </w:p>
          <w:p w14:paraId="08EBB096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Cumulative frequency diagrams;</w:t>
            </w:r>
          </w:p>
          <w:p w14:paraId="54E21D5E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Population pyramids;</w:t>
            </w:r>
          </w:p>
          <w:p w14:paraId="018D85CE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Choropleth maps;</w:t>
            </w:r>
          </w:p>
          <w:p w14:paraId="2D52DD78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Box plots;</w:t>
            </w:r>
          </w:p>
          <w:p w14:paraId="5F070FD2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Transform from one presentation to another;</w:t>
            </w:r>
          </w:p>
          <w:p w14:paraId="2CF6DEB8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Understand how to discover errors in data and recognise data that does not fit a general trend or pattern;</w:t>
            </w:r>
          </w:p>
          <w:p w14:paraId="15CAF889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Group data into class intervals and be aware of the advantages and implications of doing so;</w:t>
            </w:r>
          </w:p>
          <w:p w14:paraId="26AD6262" w14:textId="77777777" w:rsidR="007C4AE2" w:rsidRPr="00B569FB" w:rsidRDefault="007C4AE2" w:rsidP="00D14B5D">
            <w:pPr>
              <w:pStyle w:val="NoSpacing"/>
              <w:rPr>
                <w:rFonts w:ascii="Trebuchet MS" w:eastAsia="Trebuchet MS" w:hAnsi="Trebuchet MS"/>
                <w:sz w:val="20"/>
              </w:rPr>
            </w:pPr>
            <w:r w:rsidRPr="00B569FB">
              <w:rPr>
                <w:rFonts w:ascii="Trebuchet MS" w:eastAsia="Trebuchet MS" w:hAnsi="Trebuchet MS"/>
                <w:sz w:val="20"/>
              </w:rPr>
              <w:t>•</w:t>
            </w:r>
            <w:r w:rsidRPr="00B569FB">
              <w:rPr>
                <w:rFonts w:ascii="Trebuchet MS" w:eastAsia="Trebuchet MS" w:hAnsi="Trebuchet MS"/>
                <w:sz w:val="20"/>
              </w:rPr>
              <w:tab/>
              <w:t>Use calculated/given summary statistics for continuous data to make estimates of population characteristics, for example, samples to estimate the population mean.</w:t>
            </w:r>
          </w:p>
        </w:tc>
      </w:tr>
      <w:tr w:rsidR="007C4AE2" w:rsidRPr="00B569FB" w14:paraId="2977156E" w14:textId="77777777" w:rsidTr="007C4AE2">
        <w:trPr>
          <w:trHeight w:val="434"/>
        </w:trPr>
        <w:tc>
          <w:tcPr>
            <w:tcW w:w="1560" w:type="dxa"/>
          </w:tcPr>
          <w:p w14:paraId="04F0FA42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Tabulation</w:t>
            </w:r>
          </w:p>
        </w:tc>
        <w:tc>
          <w:tcPr>
            <w:tcW w:w="12048" w:type="dxa"/>
          </w:tcPr>
          <w:p w14:paraId="1A9D8EAC" w14:textId="77777777" w:rsidR="007C4AE2" w:rsidRPr="00B569FB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B569FB">
              <w:rPr>
                <w:rFonts w:ascii="Trebuchet MS" w:eastAsia="Trebuchet MS" w:hAnsi="Trebuchet MS" w:cs="Trebuchet MS"/>
                <w:sz w:val="20"/>
                <w:szCs w:val="20"/>
              </w:rPr>
              <w:t>•</w:t>
            </w:r>
            <w:r w:rsidRPr="00B569FB">
              <w:rPr>
                <w:rFonts w:ascii="Trebuchet MS" w:eastAsia="Trebuchet MS" w:hAnsi="Trebuchet MS" w:cs="Trebuchet MS"/>
                <w:sz w:val="20"/>
                <w:szCs w:val="20"/>
              </w:rPr>
              <w:tab/>
              <w:t>Two-way tables and tally charts and any other data represented in a table format</w:t>
            </w:r>
          </w:p>
        </w:tc>
      </w:tr>
    </w:tbl>
    <w:p w14:paraId="5C3290C0" w14:textId="76270374" w:rsidR="007C4AE2" w:rsidRDefault="007C4AE2"/>
    <w:p w14:paraId="51BC5F7E" w14:textId="42A84368" w:rsidR="007C4AE2" w:rsidRDefault="007C4AE2">
      <w:r>
        <w:br w:type="page"/>
      </w:r>
    </w:p>
    <w:p w14:paraId="4C2ED66E" w14:textId="5F930E7F" w:rsidR="007C4AE2" w:rsidRDefault="007C4AE2">
      <w:r>
        <w:lastRenderedPageBreak/>
        <w:t>Unit 4</w:t>
      </w:r>
    </w:p>
    <w:tbl>
      <w:tblPr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0915"/>
      </w:tblGrid>
      <w:tr w:rsidR="007C4AE2" w:rsidRPr="00587EE0" w14:paraId="28FDBFF7" w14:textId="77777777" w:rsidTr="007C4AE2">
        <w:trPr>
          <w:trHeight w:val="2701"/>
        </w:trPr>
        <w:tc>
          <w:tcPr>
            <w:tcW w:w="2552" w:type="dxa"/>
          </w:tcPr>
          <w:p w14:paraId="3FF5F81D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Verdana" w:hAnsi="Verdana"/>
                <w:sz w:val="20"/>
                <w:szCs w:val="20"/>
              </w:rPr>
              <w:t>Describing correlation by inspection, lines of best fit</w:t>
            </w:r>
          </w:p>
        </w:tc>
        <w:tc>
          <w:tcPr>
            <w:tcW w:w="10915" w:type="dxa"/>
          </w:tcPr>
          <w:p w14:paraId="6FA31F37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Know and apply the terms explanatory (independent) variables and response (dependent) variables</w:t>
            </w:r>
          </w:p>
          <w:p w14:paraId="5FF16D40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4BF91C39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know and apply vocabulary of correlation: positive, negative, zero, causation, association, interpolation and extrapolation</w:t>
            </w:r>
          </w:p>
          <w:p w14:paraId="2EBC86BB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11898D7A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describe and make comparisons of correlation by inspection: strong or weak</w:t>
            </w:r>
          </w:p>
          <w:p w14:paraId="6505371E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142063C6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know that correlation does not necessarily imply causation and multiple factors may interact</w:t>
            </w:r>
          </w:p>
          <w:p w14:paraId="39A06FA8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5AE859DE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determine line of best fit by eye, by drawing through a calculated double mean point (¯</w:t>
            </w:r>
            <w:proofErr w:type="gramStart"/>
            <w:r w:rsidRPr="00587EE0">
              <w:rPr>
                <w:rFonts w:ascii="Trebuchet MS" w:eastAsia="Verdana" w:hAnsi="Trebuchet MS"/>
                <w:sz w:val="20"/>
              </w:rPr>
              <w:t>x  ,</w:t>
            </w:r>
            <w:proofErr w:type="gramEnd"/>
            <w:r w:rsidRPr="00587EE0">
              <w:rPr>
                <w:rFonts w:ascii="Trebuchet MS" w:eastAsia="Verdana" w:hAnsi="Trebuchet MS"/>
                <w:sz w:val="20"/>
              </w:rPr>
              <w:t xml:space="preserve">¯y) and by using the equation of the regression line </w:t>
            </w:r>
          </w:p>
          <w:p w14:paraId="1ECC91B0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</w:tc>
      </w:tr>
      <w:tr w:rsidR="007C4AE2" w:rsidRPr="00587EE0" w14:paraId="7F179C5E" w14:textId="77777777" w:rsidTr="007C4AE2">
        <w:trPr>
          <w:trHeight w:val="434"/>
        </w:trPr>
        <w:tc>
          <w:tcPr>
            <w:tcW w:w="2552" w:type="dxa"/>
          </w:tcPr>
          <w:p w14:paraId="658671AB" w14:textId="77777777" w:rsidR="007C4AE2" w:rsidRPr="00587EE0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587EE0">
              <w:rPr>
                <w:rFonts w:ascii="Verdana" w:hAnsi="Verdana"/>
                <w:sz w:val="20"/>
                <w:szCs w:val="20"/>
              </w:rPr>
              <w:t xml:space="preserve">Spearman’s rank correlation coefficient, </w:t>
            </w:r>
          </w:p>
        </w:tc>
        <w:tc>
          <w:tcPr>
            <w:tcW w:w="10915" w:type="dxa"/>
          </w:tcPr>
          <w:p w14:paraId="78A6D44C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apply formula to determine Spearman’s rank correlation coefficient. Values found using calculator functions will be permissible</w:t>
            </w:r>
          </w:p>
          <w:p w14:paraId="332B6DA8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241A9E39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interpret calculated or given Spearman’s rank correlation coefficient in the context of the problem</w:t>
            </w:r>
          </w:p>
          <w:p w14:paraId="2C34C288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</w:tc>
      </w:tr>
      <w:tr w:rsidR="007C4AE2" w:rsidRPr="00587EE0" w14:paraId="1D34E614" w14:textId="77777777" w:rsidTr="007C4AE2">
        <w:trPr>
          <w:trHeight w:val="434"/>
        </w:trPr>
        <w:tc>
          <w:tcPr>
            <w:tcW w:w="2552" w:type="dxa"/>
          </w:tcPr>
          <w:p w14:paraId="247A66DC" w14:textId="77777777" w:rsidR="007C4AE2" w:rsidRPr="00587EE0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587EE0">
              <w:rPr>
                <w:rFonts w:ascii="Verdana" w:hAnsi="Verdana"/>
                <w:sz w:val="20"/>
                <w:szCs w:val="20"/>
              </w:rPr>
              <w:t>Pearson’s product moment correlation coefficient</w:t>
            </w:r>
          </w:p>
        </w:tc>
        <w:tc>
          <w:tcPr>
            <w:tcW w:w="10915" w:type="dxa"/>
          </w:tcPr>
          <w:p w14:paraId="5E776479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interpret given Pearson’s product moment correlation coefficient (PMCC) in the context of the problem</w:t>
            </w:r>
          </w:p>
          <w:p w14:paraId="25566873" w14:textId="77777777" w:rsidR="007C4AE2" w:rsidRPr="00587EE0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7EF1CC3B" w14:textId="77777777" w:rsidR="007C4AE2" w:rsidRPr="00587EE0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587EE0">
              <w:rPr>
                <w:rFonts w:ascii="Trebuchet MS" w:eastAsia="Verdana" w:hAnsi="Trebuchet MS"/>
                <w:sz w:val="20"/>
              </w:rPr>
              <w:t>understand the distinction between Spearman’s rank correlation coefficient and Pearson’s product moment correlation coefficient (PMCC)</w:t>
            </w:r>
          </w:p>
        </w:tc>
      </w:tr>
    </w:tbl>
    <w:p w14:paraId="279FFE92" w14:textId="532F812D" w:rsidR="007C4AE2" w:rsidRDefault="007C4AE2"/>
    <w:p w14:paraId="607B6BD2" w14:textId="77777777" w:rsidR="007C4AE2" w:rsidRDefault="007C4AE2">
      <w:r>
        <w:br w:type="page"/>
      </w:r>
    </w:p>
    <w:p w14:paraId="6596545E" w14:textId="7E932AF4" w:rsidR="007C4AE2" w:rsidRDefault="007C4AE2">
      <w:r>
        <w:lastRenderedPageBreak/>
        <w:t>Unit 3</w:t>
      </w:r>
    </w:p>
    <w:tbl>
      <w:tblPr>
        <w:tblW w:w="13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1623"/>
      </w:tblGrid>
      <w:tr w:rsidR="007C4AE2" w:rsidRPr="00F33CC5" w14:paraId="7FADD0D2" w14:textId="77777777" w:rsidTr="007C4AE2">
        <w:trPr>
          <w:trHeight w:val="2237"/>
        </w:trPr>
        <w:tc>
          <w:tcPr>
            <w:tcW w:w="2127" w:type="dxa"/>
          </w:tcPr>
          <w:p w14:paraId="2868A951" w14:textId="77777777" w:rsidR="007C4AE2" w:rsidRPr="00F33CC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F33CC5">
              <w:rPr>
                <w:rFonts w:ascii="Trebuchet MS" w:eastAsia="Trebuchet MS" w:hAnsi="Trebuchet MS" w:cs="Trebuchet MS"/>
                <w:sz w:val="20"/>
                <w:szCs w:val="20"/>
              </w:rPr>
              <w:t>Measures of central tendency</w:t>
            </w:r>
          </w:p>
        </w:tc>
        <w:tc>
          <w:tcPr>
            <w:tcW w:w="11623" w:type="dxa"/>
          </w:tcPr>
          <w:p w14:paraId="3D7FA9D3" w14:textId="77777777" w:rsidR="007C4AE2" w:rsidRDefault="007C4AE2" w:rsidP="00D14B5D">
            <w:pPr>
              <w:pStyle w:val="NoSpacing"/>
            </w:pPr>
            <w:r>
              <w:t>Calculate averages for discrete and grouped data: mode, median, arithmetic mean, weighted mean, geometric mean, mean seasonal variation. The term ‘mean’ should be understood to be ‘arithmetic mean’ unless ‘geometric mean’ is stated.</w:t>
            </w:r>
          </w:p>
          <w:p w14:paraId="65A2E3A2" w14:textId="77777777" w:rsidR="007C4AE2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3503B1D7" w14:textId="77777777" w:rsidR="007C4AE2" w:rsidRDefault="007C4AE2" w:rsidP="00D14B5D">
            <w:pPr>
              <w:pStyle w:val="NoSpacing"/>
            </w:pPr>
            <w:r>
              <w:t>Justify the rationale for selecting appropriate types of average in context.</w:t>
            </w:r>
          </w:p>
          <w:p w14:paraId="69CA65D6" w14:textId="77777777" w:rsidR="007C4AE2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</w:p>
          <w:p w14:paraId="14B1AFB1" w14:textId="77777777" w:rsidR="007C4AE2" w:rsidRPr="00F33CC5" w:rsidRDefault="007C4AE2" w:rsidP="00D14B5D">
            <w:pPr>
              <w:pStyle w:val="NoSpacing"/>
              <w:rPr>
                <w:rFonts w:ascii="Trebuchet MS" w:eastAsia="Verdana" w:hAnsi="Trebuchet MS"/>
                <w:sz w:val="20"/>
              </w:rPr>
            </w:pPr>
            <w:r>
              <w:t>Compare different data sets using appropriate calculated or given measure of central tendency: mode, modal class, median and mean.</w:t>
            </w:r>
          </w:p>
        </w:tc>
      </w:tr>
      <w:tr w:rsidR="007C4AE2" w:rsidRPr="0093076B" w14:paraId="0D31DC95" w14:textId="77777777" w:rsidTr="007C4AE2">
        <w:trPr>
          <w:trHeight w:val="434"/>
        </w:trPr>
        <w:tc>
          <w:tcPr>
            <w:tcW w:w="2127" w:type="dxa"/>
          </w:tcPr>
          <w:p w14:paraId="4A30F8FB" w14:textId="77777777" w:rsidR="007C4AE2" w:rsidRPr="00F33CC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F33CC5">
              <w:rPr>
                <w:rFonts w:ascii="Trebuchet MS" w:hAnsi="Trebuchet MS"/>
                <w:sz w:val="20"/>
                <w:szCs w:val="20"/>
              </w:rPr>
              <w:t xml:space="preserve">Measures of dispersion – range, quartiles, interquartile range, </w:t>
            </w:r>
            <w:proofErr w:type="spellStart"/>
            <w:r w:rsidRPr="00F33CC5">
              <w:rPr>
                <w:rFonts w:ascii="Trebuchet MS" w:hAnsi="Trebuchet MS"/>
                <w:sz w:val="20"/>
                <w:szCs w:val="20"/>
              </w:rPr>
              <w:t>interpercentile</w:t>
            </w:r>
            <w:proofErr w:type="spellEnd"/>
            <w:r w:rsidRPr="00F33CC5">
              <w:rPr>
                <w:rFonts w:ascii="Trebuchet MS" w:hAnsi="Trebuchet MS"/>
                <w:sz w:val="20"/>
                <w:szCs w:val="20"/>
              </w:rPr>
              <w:t xml:space="preserve"> range, </w:t>
            </w:r>
            <w:proofErr w:type="spellStart"/>
            <w:r w:rsidRPr="00F33CC5">
              <w:rPr>
                <w:rFonts w:ascii="Trebuchet MS" w:hAnsi="Trebuchet MS"/>
                <w:sz w:val="20"/>
                <w:szCs w:val="20"/>
              </w:rPr>
              <w:t>interdecile</w:t>
            </w:r>
            <w:proofErr w:type="spellEnd"/>
            <w:r w:rsidRPr="00F33CC5">
              <w:rPr>
                <w:rFonts w:ascii="Trebuchet MS" w:hAnsi="Trebuchet MS"/>
                <w:sz w:val="20"/>
                <w:szCs w:val="20"/>
              </w:rPr>
              <w:t xml:space="preserve"> range and standard deviation</w:t>
            </w:r>
          </w:p>
        </w:tc>
        <w:tc>
          <w:tcPr>
            <w:tcW w:w="11623" w:type="dxa"/>
          </w:tcPr>
          <w:p w14:paraId="6AAB9E6F" w14:textId="77777777" w:rsidR="007C4AE2" w:rsidRDefault="007C4AE2" w:rsidP="00D14B5D">
            <w:r>
              <w:t xml:space="preserve">Calculate different measures of spread: range, quartiles, interquartile range (IQR), percentiles, </w:t>
            </w:r>
            <w:proofErr w:type="spellStart"/>
            <w:r>
              <w:t>interpercentile</w:t>
            </w:r>
            <w:proofErr w:type="spellEnd"/>
            <w:r>
              <w:t xml:space="preserve"> range, </w:t>
            </w:r>
            <w:proofErr w:type="spellStart"/>
            <w:r>
              <w:t>interdecile</w:t>
            </w:r>
            <w:proofErr w:type="spellEnd"/>
            <w:r>
              <w:t xml:space="preserve"> range and standard deviation.</w:t>
            </w:r>
          </w:p>
          <w:p w14:paraId="54E9FC16" w14:textId="77777777" w:rsidR="007C4AE2" w:rsidRDefault="007C4AE2" w:rsidP="00D14B5D">
            <w:r>
              <w:t>Compare different data sets using appropriate calculated or given measure of spread: range, interquartile range (IQR), percentiles and standard deviation.</w:t>
            </w:r>
          </w:p>
          <w:p w14:paraId="2F78CA2F" w14:textId="77777777" w:rsidR="007C4AE2" w:rsidRDefault="007C4AE2" w:rsidP="00D14B5D">
            <w:r>
              <w:t xml:space="preserve">Use calculated or given median and interquartile range (IQR) or </w:t>
            </w:r>
            <w:proofErr w:type="spellStart"/>
            <w:r>
              <w:t>interpercentile</w:t>
            </w:r>
            <w:proofErr w:type="spellEnd"/>
            <w:r>
              <w:t xml:space="preserve"> range or </w:t>
            </w:r>
            <w:proofErr w:type="spellStart"/>
            <w:r>
              <w:t>interdecile</w:t>
            </w:r>
            <w:proofErr w:type="spellEnd"/>
            <w:r>
              <w:t xml:space="preserve"> range or mean and standard deviation to compare data samples and to compare sample data with population data.</w:t>
            </w:r>
          </w:p>
          <w:p w14:paraId="47F14005" w14:textId="77777777" w:rsidR="007C4AE2" w:rsidRPr="0093076B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Use calculated or given means and standard deviation to standardise and interpret data collected in two comparable samples. Formulae for standard deviation will be given in the formulae sheet.</w:t>
            </w:r>
          </w:p>
        </w:tc>
      </w:tr>
      <w:tr w:rsidR="007C4AE2" w:rsidRPr="006B0355" w14:paraId="5F5A3802" w14:textId="77777777" w:rsidTr="007C4AE2">
        <w:trPr>
          <w:trHeight w:val="434"/>
        </w:trPr>
        <w:tc>
          <w:tcPr>
            <w:tcW w:w="2127" w:type="dxa"/>
          </w:tcPr>
          <w:p w14:paraId="4CE7EEA9" w14:textId="77777777" w:rsidR="007C4AE2" w:rsidRPr="00F33CC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F33CC5">
              <w:rPr>
                <w:rFonts w:ascii="Trebuchet MS" w:hAnsi="Trebuchet MS"/>
                <w:sz w:val="20"/>
                <w:szCs w:val="20"/>
              </w:rPr>
              <w:t>Box plots, skewness, calculating and representing outliers</w:t>
            </w:r>
          </w:p>
        </w:tc>
        <w:tc>
          <w:tcPr>
            <w:tcW w:w="11623" w:type="dxa"/>
          </w:tcPr>
          <w:p w14:paraId="5049F3CA" w14:textId="77777777" w:rsidR="007C4AE2" w:rsidRPr="006B035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6B0355">
              <w:rPr>
                <w:rFonts w:ascii="Trebuchet MS" w:eastAsia="Trebuchet MS" w:hAnsi="Trebuchet MS" w:cs="Trebuchet MS"/>
                <w:sz w:val="20"/>
                <w:szCs w:val="20"/>
              </w:rPr>
              <w:t>identify outliers by inspection and using appropriate calculations</w:t>
            </w:r>
          </w:p>
          <w:p w14:paraId="401A6852" w14:textId="77777777" w:rsidR="007C4AE2" w:rsidRPr="006B0355" w:rsidRDefault="007C4AE2" w:rsidP="00D14B5D">
            <w:pPr>
              <w:spacing w:after="0"/>
              <w:jc w:val="both"/>
              <w:rPr>
                <w:rFonts w:ascii="Verdana" w:hAnsi="Verdana"/>
                <w:sz w:val="20"/>
              </w:rPr>
            </w:pPr>
            <w:r w:rsidRPr="006B0355">
              <w:rPr>
                <w:rFonts w:ascii="Verdana" w:hAnsi="Verdana"/>
                <w:sz w:val="20"/>
                <w:szCs w:val="20"/>
              </w:rPr>
              <w:t xml:space="preserve">To calculate outliers using the formulae </w:t>
            </w:r>
          </w:p>
          <w:p w14:paraId="5020E6C2" w14:textId="77777777" w:rsidR="007C4AE2" w:rsidRPr="006B0355" w:rsidRDefault="007C4AE2" w:rsidP="00D14B5D">
            <w:pPr>
              <w:pStyle w:val="ListParagraph"/>
              <w:spacing w:after="0"/>
              <w:ind w:left="357" w:firstLine="363"/>
              <w:jc w:val="both"/>
              <w:rPr>
                <w:rFonts w:ascii="Verdana" w:hAnsi="Verdana"/>
                <w:sz w:val="20"/>
              </w:rPr>
            </w:pPr>
            <w:r w:rsidRPr="006B0355">
              <w:rPr>
                <w:rFonts w:ascii="Verdana" w:hAnsi="Verdana"/>
                <w:sz w:val="20"/>
                <w:szCs w:val="20"/>
              </w:rPr>
              <w:t xml:space="preserve">Small outlier is &lt; LQ – 1.5 × IQR </w:t>
            </w:r>
          </w:p>
          <w:p w14:paraId="19417992" w14:textId="77777777" w:rsidR="007C4AE2" w:rsidRPr="006B0355" w:rsidRDefault="007C4AE2" w:rsidP="00D14B5D">
            <w:pPr>
              <w:pStyle w:val="ListParagraph"/>
              <w:spacing w:after="0"/>
              <w:ind w:left="357" w:firstLine="363"/>
              <w:jc w:val="both"/>
              <w:rPr>
                <w:rFonts w:ascii="Verdana" w:hAnsi="Verdana"/>
                <w:sz w:val="20"/>
              </w:rPr>
            </w:pPr>
            <w:r w:rsidRPr="006B0355">
              <w:rPr>
                <w:rFonts w:ascii="Verdana" w:hAnsi="Verdana"/>
                <w:sz w:val="20"/>
                <w:szCs w:val="20"/>
              </w:rPr>
              <w:t xml:space="preserve">Large outlier is &gt; UQ + 1.5 × IQR </w:t>
            </w:r>
          </w:p>
          <w:p w14:paraId="7FE18863" w14:textId="77777777" w:rsidR="007C4AE2" w:rsidRPr="006B0355" w:rsidRDefault="007C4AE2" w:rsidP="00D14B5D">
            <w:pPr>
              <w:pStyle w:val="ListParagraph"/>
              <w:spacing w:after="0"/>
              <w:ind w:left="357" w:firstLine="363"/>
              <w:jc w:val="both"/>
              <w:rPr>
                <w:rFonts w:ascii="Verdana" w:hAnsi="Verdana"/>
                <w:sz w:val="20"/>
              </w:rPr>
            </w:pPr>
            <w:r w:rsidRPr="006B0355">
              <w:rPr>
                <w:rFonts w:ascii="Verdana" w:hAnsi="Verdana"/>
                <w:sz w:val="20"/>
                <w:szCs w:val="20"/>
              </w:rPr>
              <w:t xml:space="preserve">Or outlier is outside </w:t>
            </w:r>
            <w:r w:rsidRPr="006B0355">
              <w:rPr>
                <w:rFonts w:ascii="Verdana" w:hAnsi="Verdana"/>
                <w:i/>
                <w:sz w:val="20"/>
                <w:szCs w:val="20"/>
              </w:rPr>
              <w:t>µ</w:t>
            </w:r>
            <w:r w:rsidRPr="006B0355">
              <w:rPr>
                <w:rFonts w:ascii="Verdana" w:hAnsi="Verdana"/>
                <w:sz w:val="20"/>
                <w:szCs w:val="20"/>
              </w:rPr>
              <w:t xml:space="preserve"> ± 3</w:t>
            </w:r>
            <w:r w:rsidRPr="006B0355">
              <w:rPr>
                <w:rFonts w:ascii="Verdana" w:hAnsi="Verdana"/>
                <w:i/>
                <w:sz w:val="20"/>
                <w:szCs w:val="20"/>
              </w:rPr>
              <w:t>σ</w:t>
            </w:r>
          </w:p>
          <w:p w14:paraId="0A3A4092" w14:textId="77777777" w:rsidR="007C4AE2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7CBC53A" w14:textId="77777777" w:rsidR="007C4AE2" w:rsidRPr="006B035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6B0355">
              <w:rPr>
                <w:rFonts w:ascii="Trebuchet MS" w:eastAsia="Trebuchet MS" w:hAnsi="Trebuchet MS" w:cs="Trebuchet MS"/>
                <w:sz w:val="20"/>
                <w:szCs w:val="20"/>
              </w:rPr>
              <w:t>comment on outliers with reference to the original data</w:t>
            </w:r>
          </w:p>
        </w:tc>
      </w:tr>
      <w:tr w:rsidR="007C4AE2" w:rsidRPr="006B0355" w14:paraId="3FF3F2B3" w14:textId="77777777" w:rsidTr="007C4AE2">
        <w:trPr>
          <w:trHeight w:val="434"/>
        </w:trPr>
        <w:tc>
          <w:tcPr>
            <w:tcW w:w="2127" w:type="dxa"/>
          </w:tcPr>
          <w:p w14:paraId="23237AF9" w14:textId="77777777" w:rsidR="007C4AE2" w:rsidRPr="00F33CC5" w:rsidRDefault="007C4AE2" w:rsidP="00D14B5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Estimation</w:t>
            </w:r>
          </w:p>
        </w:tc>
        <w:tc>
          <w:tcPr>
            <w:tcW w:w="11623" w:type="dxa"/>
          </w:tcPr>
          <w:p w14:paraId="371F1EF8" w14:textId="77777777" w:rsidR="007C4AE2" w:rsidRPr="006B0355" w:rsidRDefault="007C4AE2" w:rsidP="00D14B5D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Use calculated or given summary statistical data to make estimates of population characteristics. Use samples to estimate population mean. Use sample data to predict population proportions.</w:t>
            </w:r>
          </w:p>
        </w:tc>
      </w:tr>
    </w:tbl>
    <w:p w14:paraId="6EE3C2F5" w14:textId="7A82B549" w:rsidR="007C4AE2" w:rsidRDefault="007C4AE2"/>
    <w:p w14:paraId="49025BA5" w14:textId="54F1F921" w:rsidR="007C4AE2" w:rsidRDefault="007C4AE2">
      <w:r>
        <w:lastRenderedPageBreak/>
        <w:t>Unit 5</w:t>
      </w:r>
    </w:p>
    <w:tbl>
      <w:tblPr>
        <w:tblW w:w="13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1623"/>
      </w:tblGrid>
      <w:tr w:rsidR="007C4AE2" w:rsidRPr="004E701E" w14:paraId="4D342F64" w14:textId="77777777" w:rsidTr="007C4AE2">
        <w:trPr>
          <w:trHeight w:val="1103"/>
        </w:trPr>
        <w:tc>
          <w:tcPr>
            <w:tcW w:w="1985" w:type="dxa"/>
          </w:tcPr>
          <w:p w14:paraId="319FA1D0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Theoretical Probability</w:t>
            </w:r>
          </w:p>
        </w:tc>
        <w:tc>
          <w:tcPr>
            <w:tcW w:w="11623" w:type="dxa"/>
          </w:tcPr>
          <w:p w14:paraId="6D982E4D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 xml:space="preserve">Compare the probability of different possible outcomes using the 0–1 or 0–100% scale and statements of likelihood </w:t>
            </w:r>
          </w:p>
          <w:p w14:paraId="02352E0C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Use two-way tables, sample space diagrams, tree diagrams and Venn diagrams to represent all the different outcomes possible for at most three events</w:t>
            </w:r>
          </w:p>
        </w:tc>
      </w:tr>
      <w:tr w:rsidR="007C4AE2" w:rsidRPr="004E701E" w14:paraId="63C5FF1B" w14:textId="77777777" w:rsidTr="007C4AE2">
        <w:trPr>
          <w:trHeight w:val="608"/>
        </w:trPr>
        <w:tc>
          <w:tcPr>
            <w:tcW w:w="1985" w:type="dxa"/>
          </w:tcPr>
          <w:p w14:paraId="660AEF89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Independent Probability</w:t>
            </w:r>
          </w:p>
        </w:tc>
        <w:tc>
          <w:tcPr>
            <w:tcW w:w="11623" w:type="dxa"/>
          </w:tcPr>
          <w:p w14:paraId="7172FFA3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know and apply the formal notation for independent events</w:t>
            </w:r>
          </w:p>
        </w:tc>
      </w:tr>
      <w:tr w:rsidR="007C4AE2" w:rsidRPr="004E701E" w14:paraId="15606CD1" w14:textId="77777777" w:rsidTr="007C4AE2">
        <w:trPr>
          <w:trHeight w:val="560"/>
        </w:trPr>
        <w:tc>
          <w:tcPr>
            <w:tcW w:w="1985" w:type="dxa"/>
          </w:tcPr>
          <w:p w14:paraId="3DD8A86B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Conditional Probability</w:t>
            </w:r>
          </w:p>
        </w:tc>
        <w:tc>
          <w:tcPr>
            <w:tcW w:w="11623" w:type="dxa"/>
          </w:tcPr>
          <w:p w14:paraId="1833C6DB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know and apply the formal notation for conditional probability</w:t>
            </w:r>
          </w:p>
        </w:tc>
      </w:tr>
      <w:tr w:rsidR="007C4AE2" w:rsidRPr="004E701E" w14:paraId="27A84762" w14:textId="77777777" w:rsidTr="007C4AE2">
        <w:trPr>
          <w:trHeight w:val="1363"/>
        </w:trPr>
        <w:tc>
          <w:tcPr>
            <w:tcW w:w="1985" w:type="dxa"/>
          </w:tcPr>
          <w:p w14:paraId="2F3B5CAD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Experimental Probability</w:t>
            </w:r>
          </w:p>
        </w:tc>
        <w:tc>
          <w:tcPr>
            <w:tcW w:w="11623" w:type="dxa"/>
          </w:tcPr>
          <w:p w14:paraId="459B81F2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 xml:space="preserve">Use collected data to calculate estimates of probabilities. </w:t>
            </w:r>
          </w:p>
          <w:p w14:paraId="79D5046A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Use probability values to calculate expected frequency of a specified characteristic within a sample or population</w:t>
            </w:r>
          </w:p>
          <w:p w14:paraId="7C175F19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recognise that experimental probability will tend towards theoretical probability as the number of trials increases when all variables are random</w:t>
            </w:r>
          </w:p>
        </w:tc>
      </w:tr>
      <w:tr w:rsidR="007C4AE2" w:rsidRPr="004E701E" w14:paraId="3F091055" w14:textId="77777777" w:rsidTr="007C4AE2">
        <w:trPr>
          <w:trHeight w:val="565"/>
        </w:trPr>
        <w:tc>
          <w:tcPr>
            <w:tcW w:w="1985" w:type="dxa"/>
          </w:tcPr>
          <w:p w14:paraId="7DC73378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Risk</w:t>
            </w:r>
          </w:p>
        </w:tc>
        <w:tc>
          <w:tcPr>
            <w:tcW w:w="11623" w:type="dxa"/>
          </w:tcPr>
          <w:p w14:paraId="6CF646DA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use collected data and calculated probabilities to determine and interpret relative risks and absolute risks, and express in terms of expected frequencies in groups</w:t>
            </w:r>
          </w:p>
        </w:tc>
      </w:tr>
      <w:tr w:rsidR="007C4AE2" w:rsidRPr="004E701E" w14:paraId="65AF6F7E" w14:textId="77777777" w:rsidTr="007C4AE2">
        <w:trPr>
          <w:trHeight w:val="957"/>
        </w:trPr>
        <w:tc>
          <w:tcPr>
            <w:tcW w:w="1985" w:type="dxa"/>
          </w:tcPr>
          <w:p w14:paraId="59C45F86" w14:textId="77777777" w:rsidR="007C4AE2" w:rsidRPr="004E701E" w:rsidRDefault="007C4AE2" w:rsidP="00D14B5D">
            <w:pPr>
              <w:spacing w:before="10" w:after="10"/>
              <w:rPr>
                <w:rFonts w:cstheme="minorHAnsi"/>
              </w:rPr>
            </w:pPr>
            <w:r w:rsidRPr="004E701E">
              <w:rPr>
                <w:rFonts w:cstheme="minorHAnsi"/>
              </w:rPr>
              <w:t>Bias</w:t>
            </w:r>
          </w:p>
        </w:tc>
        <w:tc>
          <w:tcPr>
            <w:tcW w:w="11623" w:type="dxa"/>
          </w:tcPr>
          <w:p w14:paraId="31BF55D7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</w:rPr>
              <w:t>compare experimental data with theoretical predictions to identify possible bias within the experimental design</w:t>
            </w:r>
          </w:p>
          <w:p w14:paraId="144CE9BB" w14:textId="77777777" w:rsidR="007C4AE2" w:rsidRPr="004E701E" w:rsidRDefault="007C4AE2" w:rsidP="00D14B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701E">
              <w:rPr>
                <w:rFonts w:cstheme="minorHAnsi"/>
                <w:bCs/>
              </w:rPr>
              <w:t>comment on the differences between experimental and theoretical values in terms of possible bias. Formal tests of significance will not be required</w:t>
            </w:r>
          </w:p>
        </w:tc>
      </w:tr>
    </w:tbl>
    <w:p w14:paraId="61EF3A62" w14:textId="054F0E4D" w:rsidR="007C4AE2" w:rsidRDefault="007C4AE2"/>
    <w:p w14:paraId="44E46090" w14:textId="77777777" w:rsidR="007C4AE2" w:rsidRDefault="007C4AE2">
      <w:r>
        <w:br w:type="page"/>
      </w:r>
    </w:p>
    <w:p w14:paraId="65017E16" w14:textId="472F8C2A" w:rsidR="007C4AE2" w:rsidRDefault="007C4AE2">
      <w:r>
        <w:lastRenderedPageBreak/>
        <w:t>Unit 6</w:t>
      </w: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1482"/>
      </w:tblGrid>
      <w:tr w:rsidR="007C4AE2" w:rsidRPr="006828F9" w14:paraId="5B261B7B" w14:textId="77777777" w:rsidTr="007C4AE2">
        <w:trPr>
          <w:trHeight w:val="819"/>
        </w:trPr>
        <w:tc>
          <w:tcPr>
            <w:tcW w:w="2552" w:type="dxa"/>
          </w:tcPr>
          <w:p w14:paraId="14EAC8C2" w14:textId="77777777" w:rsidR="007C4AE2" w:rsidRPr="006828F9" w:rsidRDefault="007C4AE2" w:rsidP="00D14B5D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r w:rsidRPr="006828F9">
              <w:rPr>
                <w:rFonts w:ascii="Verdana" w:hAnsi="Verdana"/>
                <w:sz w:val="20"/>
                <w:szCs w:val="20"/>
              </w:rPr>
              <w:t>Standardising</w:t>
            </w:r>
          </w:p>
        </w:tc>
        <w:tc>
          <w:tcPr>
            <w:tcW w:w="11482" w:type="dxa"/>
          </w:tcPr>
          <w:p w14:paraId="2A4CB0C4" w14:textId="77777777" w:rsidR="007C4AE2" w:rsidRPr="006828F9" w:rsidRDefault="007C4AE2" w:rsidP="00D14B5D">
            <w:pPr>
              <w:autoSpaceDE w:val="0"/>
              <w:autoSpaceDN w:val="0"/>
              <w:adjustRightInd w:val="0"/>
              <w:rPr>
                <w:rFonts w:ascii="Verdana" w:hAnsi="Verdana" w:cs="Verdana-Bold"/>
                <w:bCs/>
                <w:sz w:val="20"/>
                <w:szCs w:val="20"/>
              </w:rPr>
            </w:pPr>
            <w:r w:rsidRPr="006828F9">
              <w:rPr>
                <w:rFonts w:ascii="Verdana" w:hAnsi="Verdana" w:cs="Verdana-Bold"/>
                <w:bCs/>
                <w:sz w:val="20"/>
                <w:szCs w:val="20"/>
              </w:rPr>
              <w:t>use calculated or given means and standard deviation to standardise and interpret data collected in two comparable samples. Formulae for standard deviation will be given in the formulae sheet</w:t>
            </w:r>
          </w:p>
        </w:tc>
      </w:tr>
      <w:tr w:rsidR="007C4AE2" w:rsidRPr="006828F9" w14:paraId="6426F7F7" w14:textId="77777777" w:rsidTr="007C4AE2">
        <w:trPr>
          <w:trHeight w:val="561"/>
        </w:trPr>
        <w:tc>
          <w:tcPr>
            <w:tcW w:w="2552" w:type="dxa"/>
          </w:tcPr>
          <w:p w14:paraId="5FF91413" w14:textId="77777777" w:rsidR="007C4AE2" w:rsidRPr="006828F9" w:rsidRDefault="007C4AE2" w:rsidP="00D14B5D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r w:rsidRPr="006828F9">
              <w:rPr>
                <w:rFonts w:ascii="Verdana" w:hAnsi="Verdana"/>
                <w:sz w:val="20"/>
                <w:szCs w:val="20"/>
              </w:rPr>
              <w:t>Binomial Distribution</w:t>
            </w:r>
          </w:p>
        </w:tc>
        <w:tc>
          <w:tcPr>
            <w:tcW w:w="11482" w:type="dxa"/>
          </w:tcPr>
          <w:p w14:paraId="7118EC1D" w14:textId="77777777" w:rsidR="007C4AE2" w:rsidRPr="006828F9" w:rsidRDefault="007C4AE2" w:rsidP="00D14B5D">
            <w:pPr>
              <w:autoSpaceDE w:val="0"/>
              <w:autoSpaceDN w:val="0"/>
              <w:adjustRightInd w:val="0"/>
              <w:rPr>
                <w:rFonts w:ascii="Verdana" w:hAnsi="Verdana" w:cs="Verdana-Bold"/>
                <w:bCs/>
                <w:sz w:val="20"/>
                <w:szCs w:val="20"/>
              </w:rPr>
            </w:pPr>
            <w:r w:rsidRPr="006828F9">
              <w:rPr>
                <w:rFonts w:ascii="Verdana" w:hAnsi="Verdana" w:cs="Verdana-Bold"/>
                <w:bCs/>
                <w:sz w:val="20"/>
                <w:szCs w:val="20"/>
              </w:rPr>
              <w:t>know and interpret the characteristics of a binomial distribution</w:t>
            </w:r>
          </w:p>
        </w:tc>
      </w:tr>
      <w:tr w:rsidR="007C4AE2" w:rsidRPr="006828F9" w14:paraId="4B776F46" w14:textId="77777777" w:rsidTr="007C4AE2">
        <w:trPr>
          <w:trHeight w:val="1391"/>
        </w:trPr>
        <w:tc>
          <w:tcPr>
            <w:tcW w:w="2552" w:type="dxa"/>
          </w:tcPr>
          <w:p w14:paraId="46039A11" w14:textId="77777777" w:rsidR="007C4AE2" w:rsidRPr="006828F9" w:rsidRDefault="007C4AE2" w:rsidP="00D14B5D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r w:rsidRPr="006828F9">
              <w:rPr>
                <w:rFonts w:ascii="Verdana" w:hAnsi="Verdana"/>
                <w:sz w:val="20"/>
                <w:szCs w:val="20"/>
              </w:rPr>
              <w:t>Normal Distribution</w:t>
            </w:r>
          </w:p>
        </w:tc>
        <w:tc>
          <w:tcPr>
            <w:tcW w:w="11482" w:type="dxa"/>
          </w:tcPr>
          <w:p w14:paraId="42B96752" w14:textId="77777777" w:rsidR="007C4AE2" w:rsidRPr="006828F9" w:rsidRDefault="007C4AE2" w:rsidP="00D14B5D">
            <w:pPr>
              <w:autoSpaceDE w:val="0"/>
              <w:autoSpaceDN w:val="0"/>
              <w:adjustRightInd w:val="0"/>
              <w:rPr>
                <w:rFonts w:ascii="Verdana" w:hAnsi="Verdana" w:cs="Verdana-Bold"/>
                <w:bCs/>
                <w:sz w:val="20"/>
                <w:szCs w:val="20"/>
              </w:rPr>
            </w:pPr>
            <w:r w:rsidRPr="006828F9">
              <w:rPr>
                <w:rFonts w:ascii="Verdana" w:hAnsi="Verdana" w:cs="Verdana-Bold"/>
                <w:bCs/>
                <w:sz w:val="20"/>
                <w:szCs w:val="20"/>
              </w:rPr>
              <w:t xml:space="preserve">know and interpret the characteristics of a normal distribution </w:t>
            </w:r>
          </w:p>
          <w:p w14:paraId="5DBD8A81" w14:textId="77777777" w:rsidR="007C4AE2" w:rsidRPr="006828F9" w:rsidRDefault="007C4AE2" w:rsidP="00D14B5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828F9">
              <w:rPr>
                <w:rFonts w:ascii="Verdana" w:hAnsi="Verdana" w:cs="Verdana-Bold"/>
                <w:bCs/>
                <w:sz w:val="20"/>
                <w:szCs w:val="20"/>
              </w:rPr>
              <w:t>know that, for a normal distribution, values more than three standard deviations from the mean are very unusual; know that approximately 95% of the data lie within two standard deviations of the mean and that 68% (just over two thirds) lie within one standard deviation of the mean</w:t>
            </w:r>
          </w:p>
        </w:tc>
      </w:tr>
    </w:tbl>
    <w:p w14:paraId="0620FEC7" w14:textId="77777777" w:rsidR="007C4AE2" w:rsidRDefault="007C4AE2"/>
    <w:sectPr w:rsidR="007C4AE2" w:rsidSect="007C4AE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7228" w14:textId="77777777" w:rsidR="007C4AE2" w:rsidRDefault="007C4AE2" w:rsidP="007C4AE2">
      <w:pPr>
        <w:spacing w:after="0" w:line="240" w:lineRule="auto"/>
      </w:pPr>
      <w:r>
        <w:separator/>
      </w:r>
    </w:p>
  </w:endnote>
  <w:endnote w:type="continuationSeparator" w:id="0">
    <w:p w14:paraId="61D73D14" w14:textId="77777777" w:rsidR="007C4AE2" w:rsidRDefault="007C4AE2" w:rsidP="007C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783B" w14:textId="77777777" w:rsidR="007C4AE2" w:rsidRDefault="007C4AE2" w:rsidP="007C4AE2">
      <w:pPr>
        <w:spacing w:after="0" w:line="240" w:lineRule="auto"/>
      </w:pPr>
      <w:r>
        <w:separator/>
      </w:r>
    </w:p>
  </w:footnote>
  <w:footnote w:type="continuationSeparator" w:id="0">
    <w:p w14:paraId="04A0766A" w14:textId="77777777" w:rsidR="007C4AE2" w:rsidRDefault="007C4AE2" w:rsidP="007C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3C19" w14:textId="1A8C9615" w:rsidR="007C4AE2" w:rsidRPr="007C4AE2" w:rsidRDefault="007C4AE2" w:rsidP="007C4AE2">
    <w:pPr>
      <w:pStyle w:val="Header"/>
      <w:jc w:val="center"/>
      <w:rPr>
        <w:u w:val="single"/>
      </w:rPr>
    </w:pPr>
    <w:r w:rsidRPr="007C4AE2">
      <w:rPr>
        <w:u w:val="single"/>
      </w:rPr>
      <w:t>Year 11 mock revision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569"/>
    <w:multiLevelType w:val="hybridMultilevel"/>
    <w:tmpl w:val="5982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E2"/>
    <w:rsid w:val="005527E3"/>
    <w:rsid w:val="007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7F1C"/>
  <w15:chartTrackingRefBased/>
  <w15:docId w15:val="{605014F2-DD86-4219-863F-ECCBCBF9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4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C4AE2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4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E2"/>
  </w:style>
  <w:style w:type="paragraph" w:styleId="Footer">
    <w:name w:val="footer"/>
    <w:basedOn w:val="Normal"/>
    <w:link w:val="FooterChar"/>
    <w:uiPriority w:val="99"/>
    <w:unhideWhenUsed/>
    <w:rsid w:val="007C4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1395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A.K.Wood</dc:creator>
  <cp:keywords/>
  <dc:description/>
  <cp:lastModifiedBy>Mrs A.K.Wood</cp:lastModifiedBy>
  <cp:revision>1</cp:revision>
  <dcterms:created xsi:type="dcterms:W3CDTF">2022-10-03T11:56:00Z</dcterms:created>
  <dcterms:modified xsi:type="dcterms:W3CDTF">2022-10-03T12:05:00Z</dcterms:modified>
</cp:coreProperties>
</file>