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8" w:rsidRDefault="001F68BC">
      <w:pPr>
        <w:rPr>
          <w:rFonts w:ascii="Helvetica-Narrow-Bold" w:hAnsi="Helvetica-Narrow-Bold" w:cs="Helvetica-Narrow-Bold"/>
          <w:b/>
          <w:bCs/>
          <w:sz w:val="35"/>
          <w:szCs w:val="35"/>
        </w:rPr>
      </w:pPr>
      <w:r>
        <w:rPr>
          <w:rFonts w:ascii="Helvetica-Narrow-Bold" w:hAnsi="Helvetica-Narrow-Bold" w:cs="Helvetica-Narrow-Bold"/>
          <w:b/>
          <w:bCs/>
          <w:sz w:val="35"/>
          <w:szCs w:val="35"/>
        </w:rPr>
        <w:t>Individual Differences in Attachment: Ainsworth &amp; Bell (1970)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-Bold" w:hAnsi="Helvetica-Narrow-Bold" w:cs="Helvetica-Narrow-Bold"/>
          <w:b/>
          <w:bCs/>
          <w:sz w:val="23"/>
          <w:szCs w:val="23"/>
        </w:rPr>
      </w:pPr>
      <w:r>
        <w:rPr>
          <w:rFonts w:ascii="Helvetica-Narrow-Bold" w:hAnsi="Helvetica-Narrow-Bold" w:cs="Helvetica-Narrow-Bold"/>
          <w:b/>
          <w:bCs/>
          <w:sz w:val="23"/>
          <w:szCs w:val="23"/>
        </w:rPr>
        <w:t xml:space="preserve">Aims </w:t>
      </w:r>
      <w:r>
        <w:rPr>
          <w:rFonts w:ascii="Helvetica-Narrow-Bold" w:hAnsi="Helvetica-Narrow-Bold" w:cs="Helvetica-Narrow-Bold"/>
          <w:b/>
          <w:bCs/>
          <w:sz w:val="23"/>
          <w:szCs w:val="23"/>
        </w:rPr>
        <w:t>and</w:t>
      </w:r>
      <w:r>
        <w:rPr>
          <w:rFonts w:ascii="Helvetica-Narrow-Bold" w:hAnsi="Helvetica-Narrow-Bold" w:cs="Helvetica-Narrow-Bold"/>
          <w:b/>
          <w:bCs/>
          <w:sz w:val="23"/>
          <w:szCs w:val="23"/>
        </w:rPr>
        <w:t xml:space="preserve"> Procedures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r>
        <w:rPr>
          <w:rFonts w:ascii="Helvetica-Narrow" w:hAnsi="Helvetica-Narrow" w:cs="Helvetica-Narrow"/>
          <w:sz w:val="23"/>
          <w:szCs w:val="23"/>
        </w:rPr>
        <w:t>Given the amount of variation between children and the circumstances they grow up in, it does not seem likely that every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child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will develop attachments in exactly the same way. Mary Ainsworth devised an assessment technique called the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strange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situation classification (SSC) in order to investigate how attachments might vary between children. In the SSC,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children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are unobtrusively observed to see how the react when left alone in a strange environment, how they respond to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strangers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and how they react when their primary carer returns. Ainsworth &amp; Bell (1971) assessed about 100 American</w:t>
      </w:r>
    </w:p>
    <w:p w:rsidR="001F68BC" w:rsidRDefault="001F68BC" w:rsidP="001F68BC">
      <w:pPr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infants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and their primary carers in order to find out if there was a pattern in the way they responded.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-Bold" w:hAnsi="Helvetica-Narrow-Bold" w:cs="Helvetica-Narrow-Bold"/>
          <w:b/>
          <w:bCs/>
          <w:sz w:val="23"/>
          <w:szCs w:val="23"/>
        </w:rPr>
      </w:pPr>
      <w:r>
        <w:rPr>
          <w:rFonts w:ascii="Helvetica-Narrow-Bold" w:hAnsi="Helvetica-Narrow-Bold" w:cs="Helvetica-Narrow-Bold"/>
          <w:b/>
          <w:bCs/>
          <w:sz w:val="23"/>
          <w:szCs w:val="23"/>
        </w:rPr>
        <w:t>Findings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sz w:val="23"/>
          <w:szCs w:val="23"/>
        </w:rPr>
      </w:pPr>
      <w:r>
        <w:rPr>
          <w:rFonts w:ascii="Helvetica-Narrow" w:hAnsi="Helvetica-Narrow" w:cs="Helvetica-Narrow"/>
          <w:sz w:val="23"/>
          <w:szCs w:val="23"/>
        </w:rPr>
        <w:t>Ainsworth &amp; Bell found that, according to their reactions to the strange situ</w:t>
      </w:r>
      <w:bookmarkStart w:id="0" w:name="_GoBack"/>
      <w:bookmarkEnd w:id="0"/>
      <w:r>
        <w:rPr>
          <w:rFonts w:ascii="Helvetica-Narrow" w:hAnsi="Helvetica-Narrow" w:cs="Helvetica-Narrow"/>
          <w:sz w:val="23"/>
          <w:szCs w:val="23"/>
        </w:rPr>
        <w:t>ation, the children could be classified into</w:t>
      </w:r>
    </w:p>
    <w:p w:rsidR="001F68BC" w:rsidRDefault="001F68BC" w:rsidP="001F68BC">
      <w:pPr>
        <w:rPr>
          <w:rFonts w:ascii="Helvetica-Narrow" w:hAnsi="Helvetica-Narrow" w:cs="Helvetica-Narrow"/>
          <w:sz w:val="23"/>
          <w:szCs w:val="23"/>
        </w:rPr>
      </w:pPr>
      <w:proofErr w:type="gramStart"/>
      <w:r>
        <w:rPr>
          <w:rFonts w:ascii="Helvetica-Narrow" w:hAnsi="Helvetica-Narrow" w:cs="Helvetica-Narrow"/>
          <w:sz w:val="23"/>
          <w:szCs w:val="23"/>
        </w:rPr>
        <w:t>three</w:t>
      </w:r>
      <w:proofErr w:type="gramEnd"/>
      <w:r>
        <w:rPr>
          <w:rFonts w:ascii="Helvetica-Narrow" w:hAnsi="Helvetica-Narrow" w:cs="Helvetica-Narrow"/>
          <w:sz w:val="23"/>
          <w:szCs w:val="23"/>
        </w:rPr>
        <w:t xml:space="preserve"> broad categories. Briefly describe each one, and state the percentage of the sample it comprised.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677"/>
        <w:gridCol w:w="3203"/>
      </w:tblGrid>
      <w:tr w:rsidR="001F68BC" w:rsidTr="001F68BC">
        <w:tc>
          <w:tcPr>
            <w:tcW w:w="2802" w:type="dxa"/>
          </w:tcPr>
          <w:p w:rsidR="001F68BC" w:rsidRPr="001F68BC" w:rsidRDefault="001F68BC" w:rsidP="001F68B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68BC">
              <w:rPr>
                <w:rFonts w:ascii="Comic Sans MS" w:hAnsi="Comic Sans MS"/>
                <w:b/>
                <w:sz w:val="24"/>
                <w:szCs w:val="24"/>
              </w:rPr>
              <w:t>Attachment type</w:t>
            </w:r>
          </w:p>
        </w:tc>
        <w:tc>
          <w:tcPr>
            <w:tcW w:w="4677" w:type="dxa"/>
          </w:tcPr>
          <w:p w:rsidR="001F68BC" w:rsidRPr="001F68BC" w:rsidRDefault="001F68BC" w:rsidP="001F68B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68BC">
              <w:rPr>
                <w:rFonts w:ascii="Comic Sans MS" w:hAnsi="Comic Sans MS"/>
                <w:b/>
                <w:sz w:val="24"/>
                <w:szCs w:val="24"/>
              </w:rPr>
              <w:t>Features</w:t>
            </w:r>
          </w:p>
        </w:tc>
        <w:tc>
          <w:tcPr>
            <w:tcW w:w="3203" w:type="dxa"/>
          </w:tcPr>
          <w:p w:rsidR="001F68BC" w:rsidRPr="001F68BC" w:rsidRDefault="001F68BC" w:rsidP="001F68B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68BC">
              <w:rPr>
                <w:rFonts w:ascii="Comic Sans MS" w:hAnsi="Comic Sans MS"/>
                <w:b/>
                <w:sz w:val="24"/>
                <w:szCs w:val="24"/>
              </w:rPr>
              <w:t>Percentage</w:t>
            </w:r>
          </w:p>
        </w:tc>
      </w:tr>
      <w:tr w:rsidR="001F68BC" w:rsidTr="001F68BC">
        <w:tc>
          <w:tcPr>
            <w:tcW w:w="2802" w:type="dxa"/>
          </w:tcPr>
          <w:p w:rsidR="001F68BC" w:rsidRPr="001F68BC" w:rsidRDefault="001F68BC" w:rsidP="001F68BC">
            <w:pPr>
              <w:rPr>
                <w:rFonts w:ascii="Comic Sans MS" w:hAnsi="Comic Sans MS"/>
                <w:sz w:val="24"/>
                <w:szCs w:val="24"/>
              </w:rPr>
            </w:pPr>
            <w:r w:rsidRPr="001F68BC">
              <w:rPr>
                <w:rFonts w:ascii="Comic Sans MS" w:hAnsi="Comic Sans MS"/>
                <w:sz w:val="24"/>
                <w:szCs w:val="24"/>
              </w:rPr>
              <w:t>Secure (Type B)</w:t>
            </w:r>
          </w:p>
          <w:p w:rsidR="001F68BC" w:rsidRPr="001F68BC" w:rsidRDefault="001F68BC" w:rsidP="001F68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8B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93D5C8C" wp14:editId="121428CD">
                  <wp:extent cx="768350" cy="13227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68BC" w:rsidRPr="001F68BC" w:rsidRDefault="001F68BC" w:rsidP="001F68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77" w:type="dxa"/>
          </w:tcPr>
          <w:p w:rsidR="001F68BC" w:rsidRDefault="001F68BC" w:rsidP="001F68BC"/>
        </w:tc>
        <w:tc>
          <w:tcPr>
            <w:tcW w:w="3203" w:type="dxa"/>
          </w:tcPr>
          <w:p w:rsidR="001F68BC" w:rsidRDefault="001F68BC" w:rsidP="001F68BC"/>
        </w:tc>
      </w:tr>
      <w:tr w:rsidR="001F68BC" w:rsidTr="001F68BC">
        <w:tc>
          <w:tcPr>
            <w:tcW w:w="2802" w:type="dxa"/>
          </w:tcPr>
          <w:p w:rsidR="001F68BC" w:rsidRPr="001F68BC" w:rsidRDefault="001F68BC" w:rsidP="001F68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Insecure</w:t>
            </w:r>
            <w:r w:rsidRPr="001F68BC">
              <w:rPr>
                <w:rFonts w:ascii="Comic Sans MS" w:hAnsi="Comic Sans MS"/>
                <w:sz w:val="24"/>
                <w:szCs w:val="24"/>
              </w:rPr>
              <w:t xml:space="preserve"> – avoidant </w:t>
            </w:r>
          </w:p>
          <w:p w:rsidR="001F68BC" w:rsidRDefault="001F68BC" w:rsidP="001F68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8B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8B1E7E" wp14:editId="211D8D62">
                  <wp:extent cx="1005840" cy="11830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68BC" w:rsidRPr="001F68BC" w:rsidRDefault="001F68BC" w:rsidP="001F68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77" w:type="dxa"/>
          </w:tcPr>
          <w:p w:rsidR="001F68BC" w:rsidRDefault="001F68BC" w:rsidP="001F68BC"/>
        </w:tc>
        <w:tc>
          <w:tcPr>
            <w:tcW w:w="3203" w:type="dxa"/>
          </w:tcPr>
          <w:p w:rsidR="001F68BC" w:rsidRDefault="001F68BC" w:rsidP="001F68BC"/>
        </w:tc>
      </w:tr>
      <w:tr w:rsidR="001F68BC" w:rsidTr="001F68BC">
        <w:tc>
          <w:tcPr>
            <w:tcW w:w="2802" w:type="dxa"/>
          </w:tcPr>
          <w:p w:rsidR="001F68BC" w:rsidRPr="001F68BC" w:rsidRDefault="001F68BC" w:rsidP="001F68BC">
            <w:pPr>
              <w:rPr>
                <w:rFonts w:ascii="Comic Sans MS" w:hAnsi="Comic Sans MS"/>
                <w:sz w:val="24"/>
                <w:szCs w:val="24"/>
              </w:rPr>
            </w:pPr>
            <w:r w:rsidRPr="001F68BC">
              <w:rPr>
                <w:rFonts w:ascii="Comic Sans MS" w:hAnsi="Comic Sans MS"/>
                <w:sz w:val="24"/>
                <w:szCs w:val="24"/>
              </w:rPr>
              <w:t>Insecure- resistant</w:t>
            </w:r>
          </w:p>
          <w:p w:rsidR="001F68BC" w:rsidRPr="001F68BC" w:rsidRDefault="001F68BC" w:rsidP="001F68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F68B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B5B6E0" wp14:editId="7F35810B">
                  <wp:extent cx="981710" cy="14998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49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1F68BC" w:rsidRDefault="001F68BC" w:rsidP="001F68BC"/>
        </w:tc>
        <w:tc>
          <w:tcPr>
            <w:tcW w:w="3203" w:type="dxa"/>
          </w:tcPr>
          <w:p w:rsidR="001F68BC" w:rsidRDefault="001F68BC" w:rsidP="001F68BC"/>
        </w:tc>
      </w:tr>
    </w:tbl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-Bold" w:hAnsi="Helvetica-Narrow-Bold" w:cs="Helvetica-Narrow-Bold"/>
          <w:b/>
          <w:bCs/>
          <w:sz w:val="23"/>
          <w:szCs w:val="23"/>
        </w:rPr>
      </w:pP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  <w:rPr>
          <w:rFonts w:ascii="Helvetica-Narrow-Bold" w:hAnsi="Helvetica-Narrow-Bold" w:cs="Helvetica-Narrow-Bold"/>
          <w:b/>
          <w:bCs/>
          <w:sz w:val="23"/>
          <w:szCs w:val="23"/>
        </w:rPr>
      </w:pPr>
      <w:r>
        <w:rPr>
          <w:rFonts w:ascii="Helvetica-Narrow-Bold" w:hAnsi="Helvetica-Narrow-Bold" w:cs="Helvetica-Narrow-Bold"/>
          <w:b/>
          <w:bCs/>
          <w:sz w:val="23"/>
          <w:szCs w:val="23"/>
        </w:rPr>
        <w:t>Conclusions</w:t>
      </w:r>
    </w:p>
    <w:p w:rsidR="001F68BC" w:rsidRDefault="001F68BC" w:rsidP="001F68BC">
      <w:pPr>
        <w:autoSpaceDE w:val="0"/>
        <w:autoSpaceDN w:val="0"/>
        <w:adjustRightInd w:val="0"/>
        <w:spacing w:after="0" w:line="240" w:lineRule="auto"/>
      </w:pPr>
      <w:r>
        <w:rPr>
          <w:rFonts w:ascii="Helvetica-Narrow" w:hAnsi="Helvetica-Narrow" w:cs="Helvetica-Narrow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422777</wp:posOffset>
                </wp:positionV>
                <wp:extent cx="6698512" cy="1052623"/>
                <wp:effectExtent l="0" t="0" r="26670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2" cy="10526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0;margin-top:33.3pt;width:527.45pt;height:8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" filled="f" strokecolor="black [3213]" strokeweight="2pt"/>
            </w:pict>
          </mc:Fallback>
        </mc:AlternateContent>
      </w:r>
      <w:r>
        <w:rPr>
          <w:rFonts w:ascii="Helvetica-Narrow" w:hAnsi="Helvetica-Narrow" w:cs="Helvetica-Narrow"/>
          <w:sz w:val="23"/>
          <w:szCs w:val="23"/>
        </w:rPr>
        <w:t>Ainsworth &amp; Bell sugg</w:t>
      </w:r>
      <w:r>
        <w:rPr>
          <w:rFonts w:ascii="Helvetica-Narrow" w:hAnsi="Helvetica-Narrow" w:cs="Helvetica-Narrow"/>
          <w:sz w:val="23"/>
          <w:szCs w:val="23"/>
        </w:rPr>
        <w:t xml:space="preserve">ested that behaviour in the strange situation </w:t>
      </w:r>
      <w:r>
        <w:rPr>
          <w:rFonts w:ascii="Helvetica-Narrow" w:hAnsi="Helvetica-Narrow" w:cs="Helvetica-Narrow"/>
          <w:sz w:val="23"/>
          <w:szCs w:val="23"/>
        </w:rPr>
        <w:t xml:space="preserve">was determined by the behaviour of the primary carer. </w:t>
      </w:r>
      <w:r w:rsidRPr="001F68BC">
        <w:rPr>
          <w:rFonts w:ascii="Helvetica-Narrow" w:hAnsi="Helvetica-Narrow" w:cs="Helvetica-Narrow"/>
          <w:i/>
          <w:sz w:val="23"/>
          <w:szCs w:val="23"/>
        </w:rPr>
        <w:t>Briefly</w:t>
      </w:r>
      <w:r w:rsidRPr="001F68BC">
        <w:rPr>
          <w:rFonts w:ascii="Helvetica-Narrow" w:hAnsi="Helvetica-Narrow" w:cs="Helvetica-Narrow"/>
          <w:i/>
          <w:sz w:val="23"/>
          <w:szCs w:val="23"/>
        </w:rPr>
        <w:t xml:space="preserve"> </w:t>
      </w:r>
      <w:r w:rsidRPr="001F68BC">
        <w:rPr>
          <w:rFonts w:ascii="Helvetica-Narrow" w:hAnsi="Helvetica-Narrow" w:cs="Helvetica-Narrow"/>
          <w:i/>
          <w:sz w:val="23"/>
          <w:szCs w:val="23"/>
        </w:rPr>
        <w:t>explain how this might be the case.</w:t>
      </w:r>
    </w:p>
    <w:sectPr w:rsidR="001F68BC" w:rsidSect="001F6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BC"/>
    <w:rsid w:val="001F68BC"/>
    <w:rsid w:val="00C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1</cp:revision>
  <dcterms:created xsi:type="dcterms:W3CDTF">2014-10-05T17:52:00Z</dcterms:created>
  <dcterms:modified xsi:type="dcterms:W3CDTF">2014-10-05T18:02:00Z</dcterms:modified>
</cp:coreProperties>
</file>